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6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2165350</wp:posOffset>
            </wp:positionH>
            <wp:positionV relativeFrom="paragraph">
              <wp:posOffset>67945</wp:posOffset>
            </wp:positionV>
            <wp:extent cx="2811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11780" cy="8255"/>
                    </a:xfrm>
                    <a:prstGeom prst="rect">
                      <a:avLst/>
                    </a:prstGeom>
                    <a:noFill/>
                  </pic:spPr>
                </pic:pic>
              </a:graphicData>
            </a:graphic>
          </wp:anchor>
        </w:drawing>
      </w:r>
    </w:p>
    <w:p>
      <w:pPr>
        <w:spacing w:after="0" w:line="247"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47" w:lineRule="exact"/>
        <w:rPr>
          <w:sz w:val="24"/>
          <w:szCs w:val="24"/>
          <w:color w:val="auto"/>
        </w:rPr>
      </w:pPr>
    </w:p>
    <w:p>
      <w:pPr>
        <w:jc w:val="center"/>
        <w:ind w:right="6200"/>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3" w:lineRule="exact"/>
        <w:rPr>
          <w:sz w:val="24"/>
          <w:szCs w:val="24"/>
          <w:color w:val="auto"/>
        </w:rPr>
      </w:pPr>
    </w:p>
    <w:p>
      <w:pPr>
        <w:ind w:left="2440"/>
        <w:spacing w:after="0" w:line="161" w:lineRule="exact"/>
        <w:rPr>
          <w:sz w:val="20"/>
          <w:szCs w:val="20"/>
          <w:color w:val="auto"/>
        </w:rPr>
      </w:pPr>
      <w:r>
        <w:rPr>
          <w:rFonts w:ascii="MS PGothic" w:cs="MS PGothic" w:eastAsia="MS PGothic" w:hAnsi="MS PGothic"/>
          <w:sz w:val="16"/>
          <w:szCs w:val="16"/>
          <w:color w:val="auto"/>
        </w:rPr>
        <w:t>☑</w:t>
      </w:r>
    </w:p>
    <w:p>
      <w:pPr>
        <w:ind w:left="3060"/>
        <w:spacing w:after="0"/>
        <w:rPr>
          <w:sz w:val="20"/>
          <w:szCs w:val="20"/>
          <w:color w:val="auto"/>
        </w:rPr>
      </w:pPr>
      <w:r>
        <w:rPr>
          <w:rFonts w:ascii="Times New Roman" w:cs="Times New Roman" w:eastAsia="Times New Roman" w:hAnsi="Times New Roman"/>
          <w:sz w:val="18"/>
          <w:szCs w:val="18"/>
          <w:b w:val="1"/>
          <w:bCs w:val="1"/>
          <w:color w:val="auto"/>
        </w:rPr>
        <w:t>QUARTERLY REPORT PURSUANT TO SECTION 13 OR 15(d)</w:t>
      </w:r>
    </w:p>
    <w:p>
      <w:pPr>
        <w:spacing w:after="0" w:line="93" w:lineRule="exact"/>
        <w:rPr>
          <w:sz w:val="24"/>
          <w:szCs w:val="24"/>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1" w:lineRule="exact"/>
        <w:rPr>
          <w:sz w:val="24"/>
          <w:szCs w:val="24"/>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28, 2026</w:t>
      </w:r>
    </w:p>
    <w:p>
      <w:pPr>
        <w:spacing w:after="0" w:line="1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OR</w:t>
      </w:r>
    </w:p>
    <w:p>
      <w:pPr>
        <w:spacing w:after="0" w:line="36" w:lineRule="exact"/>
        <w:rPr>
          <w:sz w:val="24"/>
          <w:szCs w:val="24"/>
          <w:color w:val="auto"/>
        </w:rPr>
      </w:pPr>
    </w:p>
    <w:p>
      <w:pPr>
        <w:ind w:left="3060" w:hanging="636"/>
        <w:spacing w:after="0"/>
        <w:tabs>
          <w:tab w:leader="none" w:pos="306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w:t>
      </w:r>
    </w:p>
    <w:p>
      <w:pPr>
        <w:spacing w:after="0" w:line="90" w:lineRule="exact"/>
        <w:rPr>
          <w:rFonts w:ascii="MS PGothic" w:cs="MS PGothic" w:eastAsia="MS PGothic" w:hAnsi="MS PGothic"/>
          <w:sz w:val="18"/>
          <w:szCs w:val="18"/>
          <w:color w:val="auto"/>
          <w:highlight w:val="black"/>
        </w:rPr>
      </w:pPr>
    </w:p>
    <w:p>
      <w:pPr>
        <w:ind w:left="306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OF THE SECURITIES EXCHANGE ACT OF 1934</w:t>
      </w:r>
    </w:p>
    <w:p>
      <w:pPr>
        <w:spacing w:after="0" w:line="17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223"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Commission File No. 001-15943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93345</wp:posOffset>
            </wp:positionV>
            <wp:extent cx="1371600" cy="4114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0" cy="4114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CHARLES RIVER LABORATORIES INTERNATIONAL, INC.</w:t>
      </w:r>
    </w:p>
    <w:p>
      <w:pPr>
        <w:spacing w:after="0" w:line="32" w:lineRule="exact"/>
        <w:rPr>
          <w:sz w:val="24"/>
          <w:szCs w:val="24"/>
          <w:color w:val="auto"/>
        </w:rPr>
      </w:pPr>
    </w:p>
    <w:tbl>
      <w:tblPr>
        <w:tblLayout w:type="fixed"/>
        <w:tblInd w:w="1280" w:type="dxa"/>
        <w:tblCellMar>
          <w:top w:w="0" w:type="dxa"/>
          <w:left w:w="0" w:type="dxa"/>
          <w:bottom w:w="0" w:type="dxa"/>
          <w:right w:w="0" w:type="dxa"/>
        </w:tblCellMar>
      </w:tblPr>
      <w:tr>
        <w:trPr>
          <w:trHeight w:val="188"/>
        </w:trPr>
        <w:tc>
          <w:tcPr>
            <w:tcW w:w="2280" w:type="dxa"/>
            <w:vAlign w:val="bottom"/>
          </w:tcPr>
          <w:p>
            <w:pPr>
              <w:spacing w:after="0"/>
              <w:rPr>
                <w:sz w:val="16"/>
                <w:szCs w:val="16"/>
                <w:color w:val="auto"/>
              </w:rPr>
            </w:pPr>
          </w:p>
        </w:tc>
        <w:tc>
          <w:tcPr>
            <w:tcW w:w="608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322"/>
        </w:trPr>
        <w:tc>
          <w:tcPr>
            <w:tcW w:w="228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6080" w:type="dxa"/>
            <w:vAlign w:val="bottom"/>
          </w:tcPr>
          <w:p>
            <w:pPr>
              <w:jc w:val="center"/>
              <w:ind w:left="4948"/>
              <w:spacing w:after="0"/>
              <w:rPr>
                <w:sz w:val="20"/>
                <w:szCs w:val="20"/>
                <w:color w:val="auto"/>
              </w:rPr>
            </w:pPr>
            <w:r>
              <w:rPr>
                <w:rFonts w:ascii="Times New Roman" w:cs="Times New Roman" w:eastAsia="Times New Roman" w:hAnsi="Times New Roman"/>
                <w:sz w:val="14"/>
                <w:szCs w:val="14"/>
                <w:b w:val="1"/>
                <w:bCs w:val="1"/>
                <w:color w:val="auto"/>
              </w:rPr>
              <w:t>06-1397316</w:t>
            </w:r>
          </w:p>
        </w:tc>
      </w:tr>
      <w:tr>
        <w:trPr>
          <w:trHeight w:val="325"/>
        </w:trPr>
        <w:tc>
          <w:tcPr>
            <w:tcW w:w="228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(State or Other Jurisdiction of</w:t>
            </w:r>
          </w:p>
        </w:tc>
        <w:tc>
          <w:tcPr>
            <w:tcW w:w="6080" w:type="dxa"/>
            <w:vAlign w:val="bottom"/>
          </w:tcPr>
          <w:p>
            <w:pPr>
              <w:jc w:val="center"/>
              <w:ind w:left="4948"/>
              <w:spacing w:after="0"/>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280" w:type="dxa"/>
            <w:vAlign w:val="bottom"/>
          </w:tcPr>
          <w:p>
            <w:pPr>
              <w:jc w:val="center"/>
              <w:ind w:right="42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6080" w:type="dxa"/>
            <w:vAlign w:val="bottom"/>
          </w:tcPr>
          <w:p>
            <w:pPr>
              <w:jc w:val="center"/>
              <w:ind w:left="4948"/>
              <w:spacing w:after="0"/>
              <w:rPr>
                <w:sz w:val="20"/>
                <w:szCs w:val="20"/>
                <w:color w:val="auto"/>
              </w:rPr>
            </w:pPr>
            <w:r>
              <w:rPr>
                <w:rFonts w:ascii="Times New Roman" w:cs="Times New Roman" w:eastAsia="Times New Roman" w:hAnsi="Times New Roman"/>
                <w:sz w:val="14"/>
                <w:szCs w:val="14"/>
                <w:color w:val="auto"/>
              </w:rPr>
              <w:t>Identification No.)</w:t>
            </w:r>
          </w:p>
        </w:tc>
      </w:tr>
    </w:tbl>
    <w:p>
      <w:pPr>
        <w:spacing w:after="0" w:line="21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251 Ballardvale Street</w:t>
      </w:r>
    </w:p>
    <w:p>
      <w:pPr>
        <w:spacing w:after="0" w:line="19"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Wilmington, Massachusetts 01887</w:t>
      </w:r>
    </w:p>
    <w:p>
      <w:pPr>
        <w:spacing w:after="0" w:line="11"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4"/>
          <w:szCs w:val="14"/>
          <w:color w:val="auto"/>
        </w:rPr>
        <w:t>(Address of Principal Executive Offices) (Zip Code)</w:t>
      </w:r>
    </w:p>
    <w:p>
      <w:pPr>
        <w:spacing w:after="0" w:line="1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(781) 222-6000</w:t>
      </w:r>
    </w:p>
    <w:p>
      <w:pPr>
        <w:spacing w:after="0" w:line="397" w:lineRule="exact"/>
        <w:rPr>
          <w:sz w:val="24"/>
          <w:szCs w:val="24"/>
          <w:color w:val="auto"/>
        </w:rPr>
      </w:pPr>
    </w:p>
    <w:tbl>
      <w:tblPr>
        <w:tblLayout w:type="fixed"/>
        <w:tblInd w:w="1000" w:type="dxa"/>
        <w:tblCellMar>
          <w:top w:w="0" w:type="dxa"/>
          <w:left w:w="0" w:type="dxa"/>
          <w:bottom w:w="0" w:type="dxa"/>
          <w:right w:w="0" w:type="dxa"/>
        </w:tblCellMar>
      </w:tblPr>
      <w:tr>
        <w:trPr>
          <w:trHeight w:val="226"/>
        </w:trPr>
        <w:tc>
          <w:tcPr>
            <w:tcW w:w="2360" w:type="dxa"/>
            <w:vAlign w:val="bottom"/>
          </w:tcPr>
          <w:p>
            <w:pPr>
              <w:spacing w:after="0"/>
              <w:rPr>
                <w:sz w:val="19"/>
                <w:szCs w:val="19"/>
                <w:color w:val="auto"/>
              </w:rPr>
            </w:pPr>
          </w:p>
        </w:tc>
        <w:tc>
          <w:tcPr>
            <w:tcW w:w="7000" w:type="dxa"/>
            <w:vAlign w:val="bottom"/>
            <w:gridSpan w:val="2"/>
          </w:tcPr>
          <w:p>
            <w:pPr>
              <w:ind w:left="18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r>
      <w:tr>
        <w:trPr>
          <w:trHeight w:val="230"/>
        </w:trPr>
        <w:tc>
          <w:tcPr>
            <w:tcW w:w="2360" w:type="dxa"/>
            <w:vAlign w:val="bottom"/>
          </w:tcPr>
          <w:p>
            <w:pPr>
              <w:jc w:val="center"/>
              <w:ind w:right="75"/>
              <w:spacing w:after="0"/>
              <w:rPr>
                <w:sz w:val="20"/>
                <w:szCs w:val="20"/>
                <w:color w:val="auto"/>
              </w:rPr>
            </w:pPr>
            <w:r>
              <w:rPr>
                <w:rFonts w:ascii="Times New Roman" w:cs="Times New Roman" w:eastAsia="Times New Roman" w:hAnsi="Times New Roman"/>
                <w:sz w:val="17"/>
                <w:szCs w:val="17"/>
                <w:b w:val="1"/>
                <w:bCs w:val="1"/>
                <w:color w:val="auto"/>
                <w:w w:val="99"/>
              </w:rPr>
              <w:t>Title of each class</w:t>
            </w:r>
          </w:p>
        </w:tc>
        <w:tc>
          <w:tcPr>
            <w:tcW w:w="3160" w:type="dxa"/>
            <w:vAlign w:val="bottom"/>
          </w:tcPr>
          <w:p>
            <w:pPr>
              <w:jc w:val="center"/>
              <w:ind w:left="535"/>
              <w:spacing w:after="0"/>
              <w:rPr>
                <w:sz w:val="20"/>
                <w:szCs w:val="20"/>
                <w:color w:val="auto"/>
              </w:rPr>
            </w:pPr>
            <w:r>
              <w:rPr>
                <w:rFonts w:ascii="Times New Roman" w:cs="Times New Roman" w:eastAsia="Times New Roman" w:hAnsi="Times New Roman"/>
                <w:sz w:val="17"/>
                <w:szCs w:val="17"/>
                <w:b w:val="1"/>
                <w:bCs w:val="1"/>
                <w:color w:val="auto"/>
                <w:w w:val="99"/>
              </w:rPr>
              <w:t>Ticker symbol(s)</w:t>
            </w:r>
          </w:p>
        </w:tc>
        <w:tc>
          <w:tcPr>
            <w:tcW w:w="3840" w:type="dxa"/>
            <w:vAlign w:val="bottom"/>
          </w:tcPr>
          <w:p>
            <w:pPr>
              <w:jc w:val="center"/>
              <w:ind w:left="577"/>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tc>
      </w:tr>
      <w:tr>
        <w:trPr>
          <w:trHeight w:val="239"/>
        </w:trPr>
        <w:tc>
          <w:tcPr>
            <w:tcW w:w="2360" w:type="dxa"/>
            <w:vAlign w:val="bottom"/>
          </w:tcPr>
          <w:p>
            <w:pPr>
              <w:jc w:val="center"/>
              <w:ind w:right="75"/>
              <w:spacing w:after="0"/>
              <w:rPr>
                <w:sz w:val="20"/>
                <w:szCs w:val="20"/>
                <w:color w:val="auto"/>
              </w:rPr>
            </w:pPr>
            <w:r>
              <w:rPr>
                <w:rFonts w:ascii="Times New Roman" w:cs="Times New Roman" w:eastAsia="Times New Roman" w:hAnsi="Times New Roman"/>
                <w:sz w:val="17"/>
                <w:szCs w:val="17"/>
                <w:color w:val="auto"/>
              </w:rPr>
              <w:t>Common stock, $0.01 par value</w:t>
            </w:r>
          </w:p>
        </w:tc>
        <w:tc>
          <w:tcPr>
            <w:tcW w:w="3160" w:type="dxa"/>
            <w:vAlign w:val="bottom"/>
          </w:tcPr>
          <w:p>
            <w:pPr>
              <w:jc w:val="center"/>
              <w:ind w:left="535"/>
              <w:spacing w:after="0"/>
              <w:rPr>
                <w:sz w:val="20"/>
                <w:szCs w:val="20"/>
                <w:color w:val="auto"/>
              </w:rPr>
            </w:pPr>
            <w:r>
              <w:rPr>
                <w:rFonts w:ascii="Times New Roman" w:cs="Times New Roman" w:eastAsia="Times New Roman" w:hAnsi="Times New Roman"/>
                <w:sz w:val="17"/>
                <w:szCs w:val="17"/>
                <w:color w:val="auto"/>
              </w:rPr>
              <w:t>CRL</w:t>
            </w:r>
          </w:p>
        </w:tc>
        <w:tc>
          <w:tcPr>
            <w:tcW w:w="3840" w:type="dxa"/>
            <w:vAlign w:val="bottom"/>
          </w:tcPr>
          <w:p>
            <w:pPr>
              <w:jc w:val="center"/>
              <w:ind w:left="577"/>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79" w:lineRule="exact"/>
        <w:rPr>
          <w:sz w:val="24"/>
          <w:szCs w:val="24"/>
          <w:color w:val="auto"/>
        </w:rPr>
      </w:pPr>
    </w:p>
    <w:p>
      <w:pPr>
        <w:spacing w:after="0" w:line="218"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3" w:lineRule="exact"/>
        <w:rPr>
          <w:sz w:val="24"/>
          <w:szCs w:val="24"/>
          <w:color w:val="auto"/>
        </w:rPr>
      </w:pPr>
    </w:p>
    <w:p>
      <w:pPr>
        <w:ind w:right="860"/>
        <w:spacing w:after="0" w:line="222"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p>
    <w:p>
      <w:pPr>
        <w:spacing w:after="0" w:line="64" w:lineRule="exact"/>
        <w:rPr>
          <w:sz w:val="24"/>
          <w:szCs w:val="24"/>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16" w:lineRule="exact"/>
        <w:rPr>
          <w:sz w:val="24"/>
          <w:szCs w:val="24"/>
          <w:color w:val="auto"/>
        </w:rPr>
      </w:pPr>
    </w:p>
    <w:tbl>
      <w:tblPr>
        <w:tblLayout w:type="fixed"/>
        <w:tblInd w:w="2000" w:type="dxa"/>
        <w:tblCellMar>
          <w:top w:w="0" w:type="dxa"/>
          <w:left w:w="0" w:type="dxa"/>
          <w:bottom w:w="0" w:type="dxa"/>
          <w:right w:w="0" w:type="dxa"/>
        </w:tblCellMar>
      </w:tblPr>
      <w:tr>
        <w:trPr>
          <w:trHeight w:val="308"/>
        </w:trPr>
        <w:tc>
          <w:tcPr>
            <w:tcW w:w="2240" w:type="dxa"/>
            <w:vAlign w:val="bottom"/>
          </w:tcPr>
          <w:p>
            <w:pPr>
              <w:jc w:val="right"/>
              <w:ind w:right="203"/>
              <w:spacing w:after="0"/>
              <w:rPr>
                <w:sz w:val="20"/>
                <w:szCs w:val="20"/>
                <w:color w:val="auto"/>
              </w:rPr>
            </w:pPr>
            <w:r>
              <w:rPr>
                <w:rFonts w:ascii="Times New Roman" w:cs="Times New Roman" w:eastAsia="Times New Roman" w:hAnsi="Times New Roman"/>
                <w:sz w:val="22"/>
                <w:szCs w:val="22"/>
                <w:color w:val="auto"/>
                <w:w w:val="96"/>
              </w:rPr>
              <w:t>Large accelerated filer</w:t>
            </w:r>
          </w:p>
        </w:tc>
        <w:tc>
          <w:tcPr>
            <w:tcW w:w="17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Accelerated filer</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64"/>
        </w:trPr>
        <w:tc>
          <w:tcPr>
            <w:tcW w:w="2240" w:type="dxa"/>
            <w:vAlign w:val="bottom"/>
          </w:tcPr>
          <w:p>
            <w:pPr>
              <w:jc w:val="right"/>
              <w:ind w:right="203"/>
              <w:spacing w:after="0"/>
              <w:rPr>
                <w:sz w:val="20"/>
                <w:szCs w:val="20"/>
                <w:color w:val="auto"/>
              </w:rPr>
            </w:pPr>
            <w:r>
              <w:rPr>
                <w:rFonts w:ascii="Times New Roman" w:cs="Times New Roman" w:eastAsia="Times New Roman" w:hAnsi="Times New Roman"/>
                <w:sz w:val="17"/>
                <w:szCs w:val="17"/>
                <w:color w:val="auto"/>
              </w:rPr>
              <w:t>Non-accelerated filer</w:t>
            </w:r>
          </w:p>
        </w:tc>
        <w:tc>
          <w:tcPr>
            <w:tcW w:w="17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c>
          <w:tcPr>
            <w:tcW w:w="3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Smaller reporting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r>
        <w:trPr>
          <w:trHeight w:val="365"/>
        </w:trPr>
        <w:tc>
          <w:tcPr>
            <w:tcW w:w="224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3520" w:type="dxa"/>
            <w:vAlign w:val="bottom"/>
          </w:tcPr>
          <w:p>
            <w:pPr>
              <w:jc w:val="right"/>
              <w:ind w:right="235"/>
              <w:spacing w:after="0"/>
              <w:rPr>
                <w:sz w:val="20"/>
                <w:szCs w:val="20"/>
                <w:color w:val="auto"/>
              </w:rPr>
            </w:pPr>
            <w:r>
              <w:rPr>
                <w:rFonts w:ascii="Times New Roman" w:cs="Times New Roman" w:eastAsia="Times New Roman" w:hAnsi="Times New Roman"/>
                <w:sz w:val="17"/>
                <w:szCs w:val="17"/>
                <w:color w:val="auto"/>
              </w:rPr>
              <w:t>Emerging growth company</w:t>
            </w:r>
          </w:p>
        </w:tc>
        <w:tc>
          <w:tcPr>
            <w:tcW w:w="480" w:type="dxa"/>
            <w:vAlign w:val="bottom"/>
          </w:tcPr>
          <w:p>
            <w:pPr>
              <w:ind w:left="320"/>
              <w:spacing w:after="0" w:line="171" w:lineRule="exact"/>
              <w:rPr>
                <w:sz w:val="20"/>
                <w:szCs w:val="20"/>
                <w:color w:val="auto"/>
              </w:rPr>
            </w:pPr>
            <w:r>
              <w:rPr>
                <w:rFonts w:ascii="MS PGothic" w:cs="MS PGothic" w:eastAsia="MS PGothic" w:hAnsi="MS PGothic"/>
                <w:sz w:val="17"/>
                <w:szCs w:val="17"/>
                <w:color w:val="auto"/>
                <w:w w:val="82"/>
              </w:rPr>
              <w:t>☐</w:t>
            </w:r>
          </w:p>
        </w:tc>
      </w:tr>
    </w:tbl>
    <w:p>
      <w:pPr>
        <w:spacing w:after="0" w:line="170" w:lineRule="exact"/>
        <w:rPr>
          <w:sz w:val="24"/>
          <w:szCs w:val="24"/>
          <w:color w:val="auto"/>
        </w:rPr>
      </w:pPr>
    </w:p>
    <w:p>
      <w:pPr>
        <w:ind w:right="380"/>
        <w:spacing w:after="0" w:line="225" w:lineRule="exact"/>
        <w:rPr>
          <w:sz w:val="20"/>
          <w:szCs w:val="20"/>
          <w:color w:val="auto"/>
        </w:rPr>
      </w:pPr>
      <w:r>
        <w:rPr>
          <w:rFonts w:ascii="Times New Roman" w:cs="Times New Roman" w:eastAsia="Times New Roman" w:hAnsi="Times New Roman"/>
          <w:sz w:val="17"/>
          <w:szCs w:val="17"/>
          <w:color w:val="auto"/>
        </w:rPr>
        <w:t xml:space="preserve">If an emerging growth company, indicate by a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5" w:lineRule="exact"/>
        <w:rPr>
          <w:sz w:val="24"/>
          <w:szCs w:val="24"/>
          <w:color w:val="auto"/>
        </w:rPr>
      </w:pPr>
    </w:p>
    <w:p>
      <w:pPr>
        <w:ind w:right="2360"/>
        <w:spacing w:after="0" w:line="300"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As of April 24, 2026, there were 48,167,730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79" w:right="379" w:bottom="1440" w:gutter="0" w:footer="0" w:header="0"/>
        </w:sectPr>
      </w:pPr>
    </w:p>
    <w:bookmarkStart w:id="1" w:name="page2"/>
    <w:bookmarkEnd w:id="1"/>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5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28, 2026</w:t>
      </w:r>
    </w:p>
    <w:p>
      <w:pPr>
        <w:spacing w:after="0" w:line="23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61" w:lineRule="exact"/>
        <w:rPr>
          <w:sz w:val="20"/>
          <w:szCs w:val="20"/>
          <w:color w:val="auto"/>
        </w:rPr>
      </w:pPr>
    </w:p>
    <w:p>
      <w:pPr>
        <w:ind w:left="220"/>
        <w:spacing w:after="0"/>
        <w:tabs>
          <w:tab w:leader="none" w:pos="10660" w:val="left"/>
        </w:tabs>
        <w:rPr>
          <w:sz w:val="20"/>
          <w:szCs w:val="20"/>
          <w:color w:val="auto"/>
        </w:rPr>
      </w:pPr>
      <w:r>
        <w:rPr>
          <w:rFonts w:ascii="Times New Roman" w:cs="Times New Roman" w:eastAsia="Times New Roman" w:hAnsi="Times New Roman"/>
          <w:sz w:val="14"/>
          <w:szCs w:val="14"/>
          <w:b w:val="1"/>
          <w:bCs w:val="1"/>
          <w:color w:val="auto"/>
        </w:rPr>
        <w:t>Item</w:t>
      </w:r>
      <w:r>
        <w:rPr>
          <w:sz w:val="20"/>
          <w:szCs w:val="20"/>
          <w:color w:val="auto"/>
        </w:rPr>
        <w:tab/>
      </w: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41910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6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4"/>
          <w:szCs w:val="14"/>
          <w:b w:val="1"/>
          <w:bCs w:val="1"/>
          <w:color w:val="auto"/>
        </w:rPr>
        <w:t>PART I - FINANCIAL INFORMATION</w:t>
      </w:r>
    </w:p>
    <w:p>
      <w:pPr>
        <w:spacing w:after="0" w:line="66" w:lineRule="exact"/>
        <w:rPr>
          <w:sz w:val="20"/>
          <w:szCs w:val="20"/>
          <w:color w:val="auto"/>
        </w:rPr>
      </w:pPr>
    </w:p>
    <w:p>
      <w:pPr>
        <w:ind w:left="780" w:hanging="448"/>
        <w:spacing w:after="0"/>
        <w:tabs>
          <w:tab w:leader="none" w:pos="7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Statements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40" w:type="dxa"/>
            <w:vAlign w:val="bottom"/>
          </w:tcPr>
          <w:p>
            <w:pPr>
              <w:spacing w:after="0"/>
              <w:rPr>
                <w:sz w:val="16"/>
                <w:szCs w:val="16"/>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Statements of Income (Loss) (Unaudited) for the three months ended March 28, 2026 and March 29, 2025</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3</w:t>
            </w:r>
          </w:p>
        </w:tc>
        <w:tc>
          <w:tcPr>
            <w:tcW w:w="40" w:type="dxa"/>
            <w:vAlign w:val="bottom"/>
          </w:tcPr>
          <w:p>
            <w:pPr>
              <w:spacing w:after="0"/>
              <w:rPr>
                <w:sz w:val="16"/>
                <w:szCs w:val="16"/>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Statements of Comprehensive Income (Loss) (Unaudited) for the three months ended March 28, 2026 and March 29,</w:t>
            </w:r>
          </w:p>
        </w:tc>
        <w:tc>
          <w:tcPr>
            <w:tcW w:w="4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740" w:type="dxa"/>
            <w:vAlign w:val="bottom"/>
          </w:tcPr>
          <w:p>
            <w:pPr>
              <w:spacing w:after="0"/>
              <w:rPr>
                <w:sz w:val="17"/>
                <w:szCs w:val="17"/>
                <w:color w:val="auto"/>
              </w:rPr>
            </w:pPr>
          </w:p>
        </w:tc>
        <w:tc>
          <w:tcPr>
            <w:tcW w:w="1000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2025</w:t>
            </w:r>
          </w:p>
        </w:tc>
        <w:tc>
          <w:tcPr>
            <w:tcW w:w="4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4</w:t>
            </w:r>
          </w:p>
        </w:tc>
        <w:tc>
          <w:tcPr>
            <w:tcW w:w="40" w:type="dxa"/>
            <w:vAlign w:val="bottom"/>
          </w:tcPr>
          <w:p>
            <w:pPr>
              <w:spacing w:after="0"/>
              <w:rPr>
                <w:sz w:val="17"/>
                <w:szCs w:val="17"/>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Balance Sheets (Unaudited) as of March 28, 2026 and December 27, 2025</w:t>
            </w:r>
          </w:p>
        </w:tc>
        <w:tc>
          <w:tcPr>
            <w:tcW w:w="40" w:type="dxa"/>
            <w:vAlign w:val="bottom"/>
          </w:tcPr>
          <w:p>
            <w:pPr>
              <w:spacing w:after="0"/>
              <w:rPr>
                <w:sz w:val="19"/>
                <w:szCs w:val="19"/>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5</w:t>
            </w:r>
          </w:p>
        </w:tc>
        <w:tc>
          <w:tcPr>
            <w:tcW w:w="4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Statements of Cash Flows (Unaudited) for the three months ended March 28, 2026 and March 29, 2025</w:t>
            </w:r>
          </w:p>
        </w:tc>
        <w:tc>
          <w:tcPr>
            <w:tcW w:w="120" w:type="dxa"/>
            <w:vAlign w:val="bottom"/>
            <w:gridSpan w:val="2"/>
          </w:tcPr>
          <w:p>
            <w:pPr>
              <w:jc w:val="center"/>
              <w:spacing w:after="0"/>
              <w:rPr>
                <w:sz w:val="20"/>
                <w:szCs w:val="20"/>
                <w:color w:val="auto"/>
              </w:rPr>
            </w:pPr>
            <w:r>
              <w:rPr>
                <w:rFonts w:ascii="Times New Roman" w:cs="Times New Roman" w:eastAsia="Times New Roman" w:hAnsi="Times New Roman"/>
                <w:sz w:val="16"/>
                <w:szCs w:val="16"/>
                <w:color w:val="0000FF"/>
                <w:w w:val="99"/>
              </w:rPr>
              <w:t>6</w:t>
            </w:r>
          </w:p>
        </w:tc>
        <w:tc>
          <w:tcPr>
            <w:tcW w:w="40" w:type="dxa"/>
            <w:vAlign w:val="bottom"/>
          </w:tcPr>
          <w:p>
            <w:pPr>
              <w:spacing w:after="0"/>
              <w:rPr>
                <w:sz w:val="19"/>
                <w:szCs w:val="19"/>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Condensed Consolidated Statements of Changes in Equity and Redeemable Noncontrolling Interests (Unaudited) for</w:t>
            </w:r>
          </w:p>
        </w:tc>
        <w:tc>
          <w:tcPr>
            <w:tcW w:w="40" w:type="dxa"/>
            <w:vAlign w:val="bottom"/>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40" w:type="dxa"/>
            <w:vAlign w:val="bottom"/>
          </w:tcPr>
          <w:p>
            <w:pPr>
              <w:spacing w:after="0"/>
              <w:rPr>
                <w:sz w:val="19"/>
                <w:szCs w:val="19"/>
                <w:color w:val="auto"/>
              </w:rPr>
            </w:pPr>
          </w:p>
        </w:tc>
      </w:tr>
      <w:tr>
        <w:trPr>
          <w:trHeight w:val="203"/>
        </w:trPr>
        <w:tc>
          <w:tcPr>
            <w:tcW w:w="740" w:type="dxa"/>
            <w:vAlign w:val="bottom"/>
          </w:tcPr>
          <w:p>
            <w:pPr>
              <w:spacing w:after="0"/>
              <w:rPr>
                <w:sz w:val="17"/>
                <w:szCs w:val="17"/>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the three months ended March 28, 2026 and March 29, 2025</w:t>
            </w:r>
          </w:p>
        </w:tc>
        <w:tc>
          <w:tcPr>
            <w:tcW w:w="40" w:type="dxa"/>
            <w:vAlign w:val="bottom"/>
          </w:tcPr>
          <w:p>
            <w:pPr>
              <w:spacing w:after="0"/>
              <w:rPr>
                <w:sz w:val="17"/>
                <w:szCs w:val="17"/>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7</w:t>
            </w:r>
          </w:p>
        </w:tc>
        <w:tc>
          <w:tcPr>
            <w:tcW w:w="40" w:type="dxa"/>
            <w:vAlign w:val="bottom"/>
          </w:tcPr>
          <w:p>
            <w:pPr>
              <w:spacing w:after="0"/>
              <w:rPr>
                <w:sz w:val="17"/>
                <w:szCs w:val="17"/>
                <w:color w:val="auto"/>
              </w:rPr>
            </w:pP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Notes to Unaudited Condensed Consolidated Financial Statements</w:t>
            </w:r>
          </w:p>
        </w:tc>
        <w:tc>
          <w:tcPr>
            <w:tcW w:w="40" w:type="dxa"/>
            <w:vAlign w:val="bottom"/>
          </w:tcPr>
          <w:p>
            <w:pPr>
              <w:spacing w:after="0"/>
              <w:rPr>
                <w:sz w:val="19"/>
                <w:szCs w:val="19"/>
                <w:color w:val="auto"/>
              </w:rPr>
            </w:pPr>
          </w:p>
        </w:tc>
        <w:tc>
          <w:tcPr>
            <w:tcW w:w="8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6"/>
                <w:szCs w:val="16"/>
                <w:color w:val="0000FF"/>
                <w:w w:val="99"/>
              </w:rPr>
              <w:t>8</w:t>
            </w:r>
          </w:p>
        </w:tc>
        <w:tc>
          <w:tcPr>
            <w:tcW w:w="40" w:type="dxa"/>
            <w:vAlign w:val="bottom"/>
          </w:tcPr>
          <w:p>
            <w:pPr>
              <w:spacing w:after="0"/>
              <w:rPr>
                <w:sz w:val="19"/>
                <w:szCs w:val="19"/>
                <w:color w:val="auto"/>
              </w:rPr>
            </w:pPr>
          </w:p>
        </w:tc>
      </w:tr>
      <w:tr>
        <w:trPr>
          <w:trHeight w:val="22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26</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Overview</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26</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Results of Operations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28</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Liquidity and Capital Resources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31</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Critical Accounting Policies and Estimates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33</w:t>
            </w:r>
          </w:p>
        </w:tc>
      </w:tr>
      <w:tr>
        <w:trPr>
          <w:trHeight w:val="223"/>
        </w:trPr>
        <w:tc>
          <w:tcPr>
            <w:tcW w:w="740" w:type="dxa"/>
            <w:vAlign w:val="bottom"/>
          </w:tcPr>
          <w:p>
            <w:pPr>
              <w:spacing w:after="0"/>
              <w:rPr>
                <w:sz w:val="19"/>
                <w:szCs w:val="19"/>
                <w:color w:val="auto"/>
              </w:rPr>
            </w:pPr>
          </w:p>
        </w:tc>
        <w:tc>
          <w:tcPr>
            <w:tcW w:w="1000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Recent Accounting Pronouncements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r>
      <w:tr>
        <w:trPr>
          <w:trHeight w:val="22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Quantitative and Qualitative Disclosure About Market Risk</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r>
      <w:tr>
        <w:trPr>
          <w:trHeight w:val="223"/>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Controls and Procedures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34</w:t>
            </w:r>
          </w:p>
        </w:tc>
      </w:tr>
      <w:tr>
        <w:trPr>
          <w:trHeight w:val="213"/>
        </w:trPr>
        <w:tc>
          <w:tcPr>
            <w:tcW w:w="740" w:type="dxa"/>
            <w:vAlign w:val="bottom"/>
          </w:tcPr>
          <w:p>
            <w:pPr>
              <w:spacing w:after="0"/>
              <w:rPr>
                <w:sz w:val="18"/>
                <w:szCs w:val="18"/>
                <w:color w:val="auto"/>
              </w:rPr>
            </w:pPr>
          </w:p>
        </w:tc>
        <w:tc>
          <w:tcPr>
            <w:tcW w:w="10000" w:type="dxa"/>
            <w:vAlign w:val="bottom"/>
          </w:tcPr>
          <w:p>
            <w:pPr>
              <w:ind w:left="3740"/>
              <w:spacing w:after="0"/>
              <w:rPr>
                <w:sz w:val="20"/>
                <w:szCs w:val="20"/>
                <w:color w:val="auto"/>
              </w:rPr>
            </w:pPr>
            <w:r>
              <w:rPr>
                <w:rFonts w:ascii="Times New Roman" w:cs="Times New Roman" w:eastAsia="Times New Roman" w:hAnsi="Times New Roman"/>
                <w:sz w:val="14"/>
                <w:szCs w:val="14"/>
                <w:b w:val="1"/>
                <w:bCs w:val="1"/>
                <w:color w:val="auto"/>
              </w:rPr>
              <w:t>PART II - OTHER INFORMATION</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2"/>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Legal Proceedings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35</w:t>
            </w: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1A</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Risk Factors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35</w:t>
            </w: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Unregistered Sales of Equity Securities and Use of Proceeds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36</w:t>
            </w: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Information</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37</w:t>
            </w:r>
          </w:p>
        </w:tc>
      </w:tr>
      <w:tr>
        <w:trPr>
          <w:trHeight w:val="196"/>
        </w:trPr>
        <w:tc>
          <w:tcPr>
            <w:tcW w:w="7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100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Exhibits</w:t>
            </w: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38</w:t>
            </w:r>
          </w:p>
        </w:tc>
      </w:tr>
      <w:tr>
        <w:trPr>
          <w:trHeight w:val="466"/>
        </w:trPr>
        <w:tc>
          <w:tcPr>
            <w:tcW w:w="740" w:type="dxa"/>
            <w:vAlign w:val="bottom"/>
          </w:tcPr>
          <w:p>
            <w:pPr>
              <w:spacing w:after="0"/>
              <w:rPr>
                <w:sz w:val="20"/>
                <w:szCs w:val="20"/>
                <w:color w:val="auto"/>
              </w:rPr>
            </w:pPr>
            <w:r>
              <w:rPr>
                <w:rFonts w:ascii="Times New Roman" w:cs="Times New Roman" w:eastAsia="Times New Roman" w:hAnsi="Times New Roman"/>
                <w:sz w:val="16"/>
                <w:szCs w:val="16"/>
                <w:color w:val="auto"/>
              </w:rPr>
              <w:t>Signatures</w:t>
            </w:r>
          </w:p>
        </w:tc>
        <w:tc>
          <w:tcPr>
            <w:tcW w:w="10000" w:type="dxa"/>
            <w:vAlign w:val="bottom"/>
          </w:tcPr>
          <w:p>
            <w:pPr>
              <w:spacing w:after="0"/>
              <w:rPr>
                <w:sz w:val="24"/>
                <w:szCs w:val="24"/>
                <w:color w:val="auto"/>
              </w:rPr>
            </w:pPr>
          </w:p>
        </w:tc>
        <w:tc>
          <w:tcPr>
            <w:tcW w:w="16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6"/>
                <w:szCs w:val="16"/>
                <w:color w:val="0000FF"/>
                <w:w w:val="99"/>
              </w:rPr>
              <w:t>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40" w:top="887" w:right="57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Special Note on Factors Affecting Future Results</w:t>
      </w:r>
    </w:p>
    <w:p>
      <w:pPr>
        <w:spacing w:after="0" w:line="121"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regarding future events and the future results of Charles River Laboratories International, Inc. that are based on our current expectations, estimates, forecasts and projections about the industries in which we operate and the beliefs and assumptions of our management. Words such as “expect,” “anticipate,” “target,” “goal,” “project,” “intend,” “plan,” “believe,” “seek,” “estimate,” “will,” “likely,” “may,” “designed,” “would,” “future,” “can,” “could,” and other similar expressions which are predictions of, indicate future events and trends or which do not relate to historical matters, are intended to identify such forward-looking statements. These statements are based on our current expectations and beliefs and involve a number of risks, uncertainties and assumptions that are difficult to predict.</w:t>
      </w:r>
    </w:p>
    <w:p>
      <w:pPr>
        <w:spacing w:after="0" w:line="66"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For example, we may use forward-looking statements when addressing topics such as: our expectations regarding the availability of NHPs and our ability to diversify our non-human primate (NHP) supply chain; the outcome of (1) the putative securities class action lawsuit filed against us and certain current/former officers on May 19, 2023, (2) the derivative lawsuit filed against members of the Board of Directors and certain current/former officers on November 8, 2023, and (3) the derivative lawsuit filed against certain current/former members of the Board of Directors and certain current/former officers on August 2, 2024; the timing and impact of the development and implementation of enhanced procedures to reasonably ensure that non-human primates we source are purpose-bred; changes and uncertainties in the global economy and financial markets; client demand, particularly future demand for drug discovery and development products and services, including the outsourcing of these services; our expectations with respect to our ability to meet financial targets; the Company’s plans or prospects, expectations and long-term goals associated with our business; the Company's expectations concerning future financial and operating performance, including the Company's commitment to, and ability to create long-term value for shareholders and to successfully execute on the Board of Directors’ comprehensive strategic review and evaluation of Charles River’s business and prospects; our expectations regarding stock repurchases, including the number of shares to be repurchased, expected timing and duration, the amount of capital that may be expended and the treatment of repurchased shares; our ability to successfully execute our business strategy; our ability to timely build infrastructure to satisfy capacity needs and support business growth, our ability to fund our operations for the foreseeable future; the impact of unauthorized access into our information systems, including the timing and effectiveness of any enhanced security and monitoring present spending trends and other cost reduction activities by our clients; future actions by our management; the outcome of contingencies; changes in our business strategy, business practices and methods of generating revenue; the development and performance of our services and products; market and industry conditions, including competitive and pricing trends and the impact of those conditions, including on our allowances for credit losses; our strategic relationships with leading pharmaceutical and biotechnology companies, venture capital investments, and opportunities for future similar arrangements; our cost structure; our expectations regarding our acquisitions and divestitures, including their impact, terms, projected timing, pricing, and planned funding; our expectations with respect to revenue growth and operating synergies (including the impact of specific actions intended to cause related improvements); the nature, timing and impact of specific actions intended to improve overall operating efficiencies and profitability (and our ability to accommodate future demand with our infrastructure), including actions to optimize our global footprint, and gains and losses attributable to businesses we plan to close, consolidate, divest or repurpose and the impact of operations and restructuring actions (including as estimated on an annualized basis); our expectations with respect to study cancellation rates and the impact of such cancellations; our expectations with respect to tax rates and benefits, including the impact of tax legislation on our operations; changes in our expectations regarding future stock option, restricted stock, performance share units and other equity grants to employees and directors; expectations with respect to foreign currency exchange; assessing (or changing our assessment of) our tax positions for financial statement purposes; our liquidity; the impact of newly issued accounting pronouncements on our consolidates financial statements and related disclosures and the impact of litigation, including our ability to successfully defend litigation against us. In addition, these statements include the impact of economic and market conditions on us and our clients, the effects of our cost-saving actions and the steps to optimize returns to shareholders on an effective and timely basis; and our ability to withstand the current market conditions.</w:t>
      </w:r>
    </w:p>
    <w:p>
      <w:pPr>
        <w:spacing w:after="0" w:line="9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Forward-looking statements are predictions and are subject to risks, uncertainties and assumptions that are difficult to predict. Therefore, actual results may differ materially and adversely from those expressed in any forward-looking statements. You are cautioned not to place undue reliance on these forward-looking statements, which speak only as of the date of this document, or in the case of statements incorporated by reference, on the date of the document incorporated by reference. Factors that might cause or contribute to such differences include, but are not limited to, those discussed in our Annual Report on Form 10-K for the year ended December 27, 2025, under the sections entitled “Our Strategy,” “Management’s Discussion and Analysis of Financial Condition and Results of Operations,” and in this Quarterly Report on Form 10-Q, under the sections entitled “Management’s Discussion and Analysis of Financial Condition and Results of Operations” and “Risk Factors,” in our press releases, and other financial filings with the Securities and Exchange Commission. We have no obligation to publicly update or revise any forward-looking statements, whether as a result of new information, future events, or risks. New information, future events, or risks may cause the forward-looking events we discuss in this report not to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5" w:right="37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PART I. FINANCIAL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17" w:lineRule="exact"/>
        <w:rPr>
          <w:sz w:val="20"/>
          <w:szCs w:val="20"/>
          <w:color w:val="auto"/>
        </w:rPr>
      </w:pPr>
    </w:p>
    <w:p>
      <w:pPr>
        <w:jc w:val="center"/>
        <w:ind w:left="540" w:right="1980"/>
        <w:spacing w:after="0" w:line="26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CONDENSED CONSOLIDATED STATEMENTS OF INCOME (LOSS) (UNAUDITED) (in thousands, except per share amounts)</w:t>
      </w:r>
    </w:p>
    <w:p>
      <w:pPr>
        <w:spacing w:after="0" w:line="6" w:lineRule="exact"/>
        <w:rPr>
          <w:sz w:val="20"/>
          <w:szCs w:val="20"/>
          <w:color w:val="auto"/>
        </w:rPr>
      </w:pPr>
    </w:p>
    <w:tbl>
      <w:tblPr>
        <w:tblLayout w:type="fixed"/>
        <w:tblInd w:w="260" w:type="dxa"/>
        <w:tblCellMar>
          <w:top w:w="0" w:type="dxa"/>
          <w:left w:w="0" w:type="dxa"/>
          <w:bottom w:w="0" w:type="dxa"/>
          <w:right w:w="0" w:type="dxa"/>
        </w:tblCellMar>
      </w:tblPr>
      <w:tr>
        <w:trPr>
          <w:trHeight w:val="190"/>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gridSpan w:val="4"/>
          </w:tcPr>
          <w:p>
            <w:pPr>
              <w:jc w:val="right"/>
              <w:ind w:right="879"/>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56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7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6"/>
                <w:szCs w:val="16"/>
                <w:color w:val="auto"/>
              </w:rPr>
            </w:pPr>
          </w:p>
        </w:tc>
        <w:tc>
          <w:tcPr>
            <w:tcW w:w="136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75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Service 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798,152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797,923</w:t>
            </w:r>
          </w:p>
        </w:tc>
      </w:tr>
      <w:tr>
        <w:trPr>
          <w:trHeight w:val="237"/>
        </w:trPr>
        <w:tc>
          <w:tcPr>
            <w:tcW w:w="75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Product revenue</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197,678</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186,245</w:t>
            </w:r>
          </w:p>
        </w:tc>
      </w:tr>
      <w:tr>
        <w:trPr>
          <w:trHeight w:val="243"/>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984,168</w:t>
            </w:r>
          </w:p>
        </w:tc>
      </w:tr>
      <w:tr>
        <w:trPr>
          <w:trHeight w:val="23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Costs and expenses</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Cost of services provided (excluding amortization of intangible assets)</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608,907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577,428</w:t>
            </w:r>
          </w:p>
        </w:tc>
      </w:tr>
      <w:tr>
        <w:trPr>
          <w:trHeight w:val="233"/>
        </w:trPr>
        <w:tc>
          <w:tcPr>
            <w:tcW w:w="7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Cost of products sold (excluding amortization of intangible assets)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89,008</w:t>
            </w:r>
          </w:p>
        </w:tc>
      </w:tr>
      <w:tr>
        <w:trPr>
          <w:trHeight w:val="253"/>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159,422</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177,799</w:t>
            </w:r>
          </w:p>
        </w:tc>
      </w:tr>
      <w:tr>
        <w:trPr>
          <w:trHeight w:val="237"/>
        </w:trPr>
        <w:tc>
          <w:tcPr>
            <w:tcW w:w="75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15,345</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65,264</w:t>
            </w:r>
          </w:p>
        </w:tc>
      </w:tr>
      <w:tr>
        <w:trPr>
          <w:trHeight w:val="243"/>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119,897</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74,669</w:t>
            </w:r>
          </w:p>
        </w:tc>
      </w:tr>
      <w:tr>
        <w:trPr>
          <w:trHeight w:val="23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r>
      <w:tr>
        <w:trPr>
          <w:trHeight w:val="233"/>
        </w:trPr>
        <w:tc>
          <w:tcPr>
            <w:tcW w:w="7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(27,884)</w:t>
            </w:r>
          </w:p>
        </w:tc>
      </w:tr>
      <w:tr>
        <w:trPr>
          <w:trHeight w:val="246"/>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(124,130)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(12,211)</w:t>
            </w:r>
          </w:p>
        </w:tc>
      </w:tr>
      <w:tr>
        <w:trPr>
          <w:trHeight w:val="23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35,978</w:t>
            </w:r>
          </w:p>
        </w:tc>
      </w:tr>
      <w:tr>
        <w:trPr>
          <w:trHeight w:val="246"/>
        </w:trPr>
        <w:tc>
          <w:tcPr>
            <w:tcW w:w="75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(15,140)</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10,100</w:t>
            </w:r>
          </w:p>
        </w:tc>
      </w:tr>
      <w:tr>
        <w:trPr>
          <w:trHeight w:val="23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25,878</w:t>
            </w:r>
          </w:p>
        </w:tc>
      </w:tr>
      <w:tr>
        <w:trPr>
          <w:trHeight w:val="246"/>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(14,843)</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25,469</w:t>
            </w:r>
          </w:p>
        </w:tc>
      </w:tr>
      <w:tr>
        <w:trPr>
          <w:trHeight w:val="20"/>
        </w:trPr>
        <w:tc>
          <w:tcPr>
            <w:tcW w:w="75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75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Earnings (loss) per common share</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33"/>
        </w:trPr>
        <w:tc>
          <w:tcPr>
            <w:tcW w:w="75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(0.30)</w:t>
            </w:r>
          </w:p>
        </w:tc>
        <w:tc>
          <w:tcPr>
            <w:tcW w:w="120" w:type="dxa"/>
            <w:vAlign w:val="bottom"/>
          </w:tcPr>
          <w:p>
            <w:pPr>
              <w:spacing w:after="0"/>
              <w:rPr>
                <w:sz w:val="20"/>
                <w:szCs w:val="20"/>
                <w:color w:val="auto"/>
              </w:rPr>
            </w:pPr>
          </w:p>
        </w:tc>
        <w:tc>
          <w:tcPr>
            <w:tcW w:w="1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0.50</w:t>
            </w:r>
          </w:p>
        </w:tc>
      </w:tr>
      <w:tr>
        <w:trPr>
          <w:trHeight w:val="280"/>
        </w:trPr>
        <w:tc>
          <w:tcPr>
            <w:tcW w:w="75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33"/>
        </w:trPr>
        <w:tc>
          <w:tcPr>
            <w:tcW w:w="7560" w:type="dxa"/>
            <w:vAlign w:val="bottom"/>
          </w:tcPr>
          <w:p>
            <w:pPr>
              <w:spacing w:after="0"/>
              <w:rPr>
                <w:sz w:val="20"/>
                <w:szCs w:val="20"/>
                <w:color w:val="auto"/>
              </w:rPr>
            </w:pPr>
            <w:r>
              <w:rPr>
                <w:rFonts w:ascii="Times New Roman" w:cs="Times New Roman" w:eastAsia="Times New Roman" w:hAnsi="Times New Roman"/>
                <w:sz w:val="16"/>
                <w:szCs w:val="16"/>
                <w:color w:val="auto"/>
              </w:rPr>
              <w:t>Weighted-average number of common shares outstanding</w:t>
            </w: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53"/>
        </w:trPr>
        <w:tc>
          <w:tcPr>
            <w:tcW w:w="7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Basic</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48,951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50,677</w:t>
            </w:r>
          </w:p>
        </w:tc>
      </w:tr>
      <w:tr>
        <w:trPr>
          <w:trHeight w:val="237"/>
        </w:trPr>
        <w:tc>
          <w:tcPr>
            <w:tcW w:w="75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Diluted</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48,951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50,853</w:t>
            </w:r>
          </w:p>
        </w:tc>
      </w:tr>
    </w:tbl>
    <w:p>
      <w:pPr>
        <w:spacing w:after="0" w:line="200" w:lineRule="exact"/>
        <w:rPr>
          <w:sz w:val="20"/>
          <w:szCs w:val="20"/>
          <w:color w:val="auto"/>
        </w:rPr>
      </w:pPr>
    </w:p>
    <w:p>
      <w:pPr>
        <w:spacing w:after="0" w:line="359"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891" w:right="559" w:bottom="1440" w:gutter="0" w:footer="0" w:header="0"/>
        </w:sectPr>
      </w:pPr>
    </w:p>
    <w:bookmarkStart w:id="4" w:name="page5"/>
    <w:bookmarkEnd w:id="4"/>
    <w:p>
      <w:pPr>
        <w:jc w:val="center"/>
        <w:ind w:left="460" w:right="1240"/>
        <w:spacing w:after="0" w:line="27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CONDENSED CONSOLIDATED STATEMENTS OF COMPREHENSIVE INCOME (LOSS) (UNAUDITED) (in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6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86"/>
        </w:trPr>
        <w:tc>
          <w:tcPr>
            <w:tcW w:w="7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420" w:type="dxa"/>
            <w:vAlign w:val="bottom"/>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76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6"/>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(14,802)</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25,878</w:t>
            </w:r>
          </w:p>
        </w:tc>
      </w:tr>
      <w:tr>
        <w:trPr>
          <w:trHeight w:val="233"/>
        </w:trPr>
        <w:tc>
          <w:tcPr>
            <w:tcW w:w="7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3"/>
        </w:trPr>
        <w:tc>
          <w:tcPr>
            <w:tcW w:w="7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(25,180)</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60,381</w:t>
            </w:r>
          </w:p>
        </w:tc>
      </w:tr>
      <w:tr>
        <w:trPr>
          <w:trHeight w:val="202"/>
        </w:trPr>
        <w:tc>
          <w:tcPr>
            <w:tcW w:w="7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net loss, settlement losses, and prior service benefit included in total cost for pension and other</w:t>
            </w: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37"/>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post-retirement benefit plans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894</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408</w:t>
            </w:r>
          </w:p>
        </w:tc>
      </w:tr>
      <w:tr>
        <w:trPr>
          <w:trHeight w:val="230"/>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income taxes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(24,286)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60,789</w:t>
            </w:r>
          </w:p>
        </w:tc>
      </w:tr>
      <w:tr>
        <w:trPr>
          <w:trHeight w:val="240"/>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Income tax expense (benefit) related to items of other comprehensive income</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9,548</w:t>
            </w:r>
          </w:p>
        </w:tc>
      </w:tr>
      <w:tr>
        <w:trPr>
          <w:trHeight w:val="239"/>
        </w:trPr>
        <w:tc>
          <w:tcPr>
            <w:tcW w:w="7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net of income taxes</w:t>
            </w: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(34,495)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77,119</w:t>
            </w:r>
          </w:p>
        </w:tc>
      </w:tr>
      <w:tr>
        <w:trPr>
          <w:trHeight w:val="237"/>
        </w:trPr>
        <w:tc>
          <w:tcPr>
            <w:tcW w:w="7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Less: Comprehensive loss related to noncontrolling interests, net of income taxes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68"/>
        </w:trPr>
        <w:tc>
          <w:tcPr>
            <w:tcW w:w="7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 attributable to Charles River Laboratories International, Inc., net of income taxes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(34,102)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77,568</w:t>
            </w:r>
          </w:p>
        </w:tc>
      </w:tr>
      <w:tr>
        <w:trPr>
          <w:trHeight w:val="20"/>
        </w:trPr>
        <w:tc>
          <w:tcPr>
            <w:tcW w:w="7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440" w:top="887" w:right="45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Pr>
          <w:p>
            <w:pPr>
              <w:spacing w:after="0"/>
              <w:rPr>
                <w:sz w:val="16"/>
                <w:szCs w:val="16"/>
                <w:color w:val="auto"/>
              </w:rPr>
            </w:pPr>
          </w:p>
        </w:tc>
        <w:tc>
          <w:tcPr>
            <w:tcW w:w="148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0" w:type="dxa"/>
            <w:vAlign w:val="bottom"/>
          </w:tcPr>
          <w:p>
            <w:pPr>
              <w:spacing w:after="0"/>
              <w:rPr>
                <w:sz w:val="1"/>
                <w:szCs w:val="1"/>
                <w:color w:val="auto"/>
              </w:rPr>
            </w:pPr>
          </w:p>
        </w:tc>
      </w:tr>
      <w:tr>
        <w:trPr>
          <w:trHeight w:val="37"/>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191,830</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213,770</w:t>
            </w:r>
          </w:p>
        </w:tc>
        <w:tc>
          <w:tcPr>
            <w:tcW w:w="0" w:type="dxa"/>
            <w:vAlign w:val="bottom"/>
          </w:tcPr>
          <w:p>
            <w:pPr>
              <w:spacing w:after="0"/>
              <w:rPr>
                <w:sz w:val="1"/>
                <w:szCs w:val="1"/>
                <w:color w:val="auto"/>
              </w:rPr>
            </w:pPr>
          </w:p>
        </w:tc>
      </w:tr>
      <w:tr>
        <w:trPr>
          <w:trHeight w:val="361"/>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 of allowances for credit losses of $8,114 and $10,463, respectively</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700,251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708,856</w:t>
            </w:r>
          </w:p>
        </w:tc>
        <w:tc>
          <w:tcPr>
            <w:tcW w:w="0" w:type="dxa"/>
            <w:vAlign w:val="bottom"/>
          </w:tcPr>
          <w:p>
            <w:pPr>
              <w:spacing w:after="0"/>
              <w:rPr>
                <w:sz w:val="1"/>
                <w:szCs w:val="1"/>
                <w:color w:val="auto"/>
              </w:rPr>
            </w:pPr>
          </w:p>
        </w:tc>
      </w:tr>
      <w:tr>
        <w:trPr>
          <w:trHeight w:val="341"/>
        </w:trPr>
        <w:tc>
          <w:tcPr>
            <w:tcW w:w="7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359,723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299,103</w:t>
            </w:r>
          </w:p>
        </w:tc>
        <w:tc>
          <w:tcPr>
            <w:tcW w:w="0" w:type="dxa"/>
            <w:vAlign w:val="bottom"/>
          </w:tcPr>
          <w:p>
            <w:pPr>
              <w:spacing w:after="0"/>
              <w:rPr>
                <w:sz w:val="1"/>
                <w:szCs w:val="1"/>
                <w:color w:val="auto"/>
              </w:rPr>
            </w:pPr>
          </w:p>
        </w:tc>
      </w:tr>
      <w:tr>
        <w:trPr>
          <w:trHeight w:val="361"/>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Prepaid assets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96,108</w:t>
            </w:r>
          </w:p>
        </w:tc>
        <w:tc>
          <w:tcPr>
            <w:tcW w:w="0" w:type="dxa"/>
            <w:vAlign w:val="bottom"/>
          </w:tcPr>
          <w:p>
            <w:pPr>
              <w:spacing w:after="0"/>
              <w:rPr>
                <w:sz w:val="1"/>
                <w:szCs w:val="1"/>
                <w:color w:val="auto"/>
              </w:rPr>
            </w:pPr>
          </w:p>
        </w:tc>
      </w:tr>
      <w:tr>
        <w:trPr>
          <w:trHeight w:val="344"/>
        </w:trPr>
        <w:tc>
          <w:tcPr>
            <w:tcW w:w="7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current assets</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134,856</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129,212</w:t>
            </w:r>
          </w:p>
        </w:tc>
        <w:tc>
          <w:tcPr>
            <w:tcW w:w="0" w:type="dxa"/>
            <w:vAlign w:val="bottom"/>
          </w:tcPr>
          <w:p>
            <w:pPr>
              <w:spacing w:after="0"/>
              <w:rPr>
                <w:sz w:val="1"/>
                <w:szCs w:val="1"/>
                <w:color w:val="auto"/>
              </w:rPr>
            </w:pPr>
          </w:p>
        </w:tc>
      </w:tr>
      <w:tr>
        <w:trPr>
          <w:trHeight w:val="351"/>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assets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1,488,806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1,447,049</w:t>
            </w:r>
          </w:p>
        </w:tc>
        <w:tc>
          <w:tcPr>
            <w:tcW w:w="0" w:type="dxa"/>
            <w:vAlign w:val="bottom"/>
          </w:tcPr>
          <w:p>
            <w:pPr>
              <w:spacing w:after="0"/>
              <w:rPr>
                <w:sz w:val="1"/>
                <w:szCs w:val="1"/>
                <w:color w:val="auto"/>
              </w:rPr>
            </w:pPr>
          </w:p>
        </w:tc>
      </w:tr>
      <w:tr>
        <w:trPr>
          <w:trHeight w:val="341"/>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1,510,154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1,655,219</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Venture capital and strategic equity investments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209,723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206,972</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317,840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361,415</w:t>
            </w:r>
          </w:p>
        </w:tc>
        <w:tc>
          <w:tcPr>
            <w:tcW w:w="0" w:type="dxa"/>
            <w:vAlign w:val="bottom"/>
          </w:tcPr>
          <w:p>
            <w:pPr>
              <w:spacing w:after="0"/>
              <w:rPr>
                <w:sz w:val="1"/>
                <w:szCs w:val="1"/>
                <w:color w:val="auto"/>
              </w:rPr>
            </w:pPr>
          </w:p>
        </w:tc>
      </w:tr>
      <w:tr>
        <w:trPr>
          <w:trHeight w:val="35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3,040,032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2,764,253</w:t>
            </w:r>
          </w:p>
        </w:tc>
        <w:tc>
          <w:tcPr>
            <w:tcW w:w="0" w:type="dxa"/>
            <w:vAlign w:val="bottom"/>
          </w:tcPr>
          <w:p>
            <w:pPr>
              <w:spacing w:after="0"/>
              <w:rPr>
                <w:sz w:val="1"/>
                <w:szCs w:val="1"/>
                <w:color w:val="auto"/>
              </w:rPr>
            </w:pPr>
          </w:p>
        </w:tc>
      </w:tr>
      <w:tr>
        <w:trPr>
          <w:trHeight w:val="341"/>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248,989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339,995</w:t>
            </w:r>
          </w:p>
        </w:tc>
        <w:tc>
          <w:tcPr>
            <w:tcW w:w="0" w:type="dxa"/>
            <w:vAlign w:val="bottom"/>
          </w:tcPr>
          <w:p>
            <w:pPr>
              <w:spacing w:after="0"/>
              <w:rPr>
                <w:sz w:val="1"/>
                <w:szCs w:val="1"/>
                <w:color w:val="auto"/>
              </w:rPr>
            </w:pPr>
          </w:p>
        </w:tc>
      </w:tr>
      <w:tr>
        <w:trPr>
          <w:trHeight w:val="36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tax assets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88,599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67,334</w:t>
            </w:r>
          </w:p>
        </w:tc>
        <w:tc>
          <w:tcPr>
            <w:tcW w:w="0" w:type="dxa"/>
            <w:vAlign w:val="bottom"/>
          </w:tcPr>
          <w:p>
            <w:pPr>
              <w:spacing w:after="0"/>
              <w:rPr>
                <w:sz w:val="1"/>
                <w:szCs w:val="1"/>
                <w:color w:val="auto"/>
              </w:rPr>
            </w:pPr>
          </w:p>
        </w:tc>
      </w:tr>
      <w:tr>
        <w:trPr>
          <w:trHeight w:val="345"/>
        </w:trPr>
        <w:tc>
          <w:tcPr>
            <w:tcW w:w="7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826,165</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293,185</w:t>
            </w:r>
          </w:p>
        </w:tc>
        <w:tc>
          <w:tcPr>
            <w:tcW w:w="0" w:type="dxa"/>
            <w:vAlign w:val="bottom"/>
          </w:tcPr>
          <w:p>
            <w:pPr>
              <w:spacing w:after="0"/>
              <w:rPr>
                <w:sz w:val="1"/>
                <w:szCs w:val="1"/>
                <w:color w:val="auto"/>
              </w:rPr>
            </w:pPr>
          </w:p>
        </w:tc>
      </w:tr>
      <w:tr>
        <w:trPr>
          <w:trHeight w:val="376"/>
        </w:trPr>
        <w:tc>
          <w:tcPr>
            <w:tcW w:w="7840" w:type="dxa"/>
            <w:vAlign w:val="bottom"/>
            <w:tcBorders>
              <w:bottom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assets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7,730,308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7,135,422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8"/>
        </w:trPr>
        <w:tc>
          <w:tcPr>
            <w:tcW w:w="784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4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5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133,952</w:t>
            </w:r>
          </w:p>
        </w:tc>
        <w:tc>
          <w:tcPr>
            <w:tcW w:w="1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148,800</w:t>
            </w:r>
          </w:p>
        </w:tc>
        <w:tc>
          <w:tcPr>
            <w:tcW w:w="0" w:type="dxa"/>
            <w:vAlign w:val="bottom"/>
          </w:tcPr>
          <w:p>
            <w:pPr>
              <w:spacing w:after="0"/>
              <w:rPr>
                <w:sz w:val="1"/>
                <w:szCs w:val="1"/>
                <w:color w:val="auto"/>
              </w:rPr>
            </w:pPr>
          </w:p>
        </w:tc>
      </w:tr>
      <w:tr>
        <w:trPr>
          <w:trHeight w:val="361"/>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166,888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268,854</w:t>
            </w:r>
          </w:p>
        </w:tc>
        <w:tc>
          <w:tcPr>
            <w:tcW w:w="0" w:type="dxa"/>
            <w:vAlign w:val="bottom"/>
          </w:tcPr>
          <w:p>
            <w:pPr>
              <w:spacing w:after="0"/>
              <w:rPr>
                <w:sz w:val="1"/>
                <w:szCs w:val="1"/>
                <w:color w:val="auto"/>
              </w:rPr>
            </w:pPr>
          </w:p>
        </w:tc>
      </w:tr>
      <w:tr>
        <w:trPr>
          <w:trHeight w:val="341"/>
        </w:trPr>
        <w:tc>
          <w:tcPr>
            <w:tcW w:w="7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194,330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210,418</w:t>
            </w:r>
          </w:p>
        </w:tc>
        <w:tc>
          <w:tcPr>
            <w:tcW w:w="0" w:type="dxa"/>
            <w:vAlign w:val="bottom"/>
          </w:tcPr>
          <w:p>
            <w:pPr>
              <w:spacing w:after="0"/>
              <w:rPr>
                <w:sz w:val="1"/>
                <w:szCs w:val="1"/>
                <w:color w:val="auto"/>
              </w:rPr>
            </w:pPr>
          </w:p>
        </w:tc>
      </w:tr>
      <w:tr>
        <w:trPr>
          <w:trHeight w:val="361"/>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Accrued liabilities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372,397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270,085</w:t>
            </w:r>
          </w:p>
        </w:tc>
        <w:tc>
          <w:tcPr>
            <w:tcW w:w="0" w:type="dxa"/>
            <w:vAlign w:val="bottom"/>
          </w:tcPr>
          <w:p>
            <w:pPr>
              <w:spacing w:after="0"/>
              <w:rPr>
                <w:sz w:val="1"/>
                <w:szCs w:val="1"/>
                <w:color w:val="auto"/>
              </w:rPr>
            </w:pPr>
          </w:p>
        </w:tc>
      </w:tr>
      <w:tr>
        <w:trPr>
          <w:trHeight w:val="345"/>
        </w:trPr>
        <w:tc>
          <w:tcPr>
            <w:tcW w:w="7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226,137</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222,158</w:t>
            </w:r>
          </w:p>
        </w:tc>
        <w:tc>
          <w:tcPr>
            <w:tcW w:w="0" w:type="dxa"/>
            <w:vAlign w:val="bottom"/>
          </w:tcPr>
          <w:p>
            <w:pPr>
              <w:spacing w:after="0"/>
              <w:rPr>
                <w:sz w:val="1"/>
                <w:szCs w:val="1"/>
                <w:color w:val="auto"/>
              </w:rPr>
            </w:pPr>
          </w:p>
        </w:tc>
      </w:tr>
      <w:tr>
        <w:trPr>
          <w:trHeight w:val="351"/>
        </w:trPr>
        <w:tc>
          <w:tcPr>
            <w:tcW w:w="78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1,093,704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1,120,315</w:t>
            </w:r>
          </w:p>
        </w:tc>
        <w:tc>
          <w:tcPr>
            <w:tcW w:w="0" w:type="dxa"/>
            <w:vAlign w:val="bottom"/>
          </w:tcPr>
          <w:p>
            <w:pPr>
              <w:spacing w:after="0"/>
              <w:rPr>
                <w:sz w:val="1"/>
                <w:szCs w:val="1"/>
                <w:color w:val="auto"/>
              </w:rPr>
            </w:pPr>
          </w:p>
        </w:tc>
      </w:tr>
      <w:tr>
        <w:trPr>
          <w:trHeight w:val="341"/>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debt, net and finance leases</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2,663,133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2,136,360</w:t>
            </w:r>
          </w:p>
        </w:tc>
        <w:tc>
          <w:tcPr>
            <w:tcW w:w="0" w:type="dxa"/>
            <w:vAlign w:val="bottom"/>
          </w:tcPr>
          <w:p>
            <w:pPr>
              <w:spacing w:after="0"/>
              <w:rPr>
                <w:sz w:val="1"/>
                <w:szCs w:val="1"/>
                <w:color w:val="auto"/>
              </w:rPr>
            </w:pPr>
          </w:p>
        </w:tc>
      </w:tr>
      <w:tr>
        <w:trPr>
          <w:trHeight w:val="226"/>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393,113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434,048</w:t>
            </w:r>
          </w:p>
        </w:tc>
        <w:tc>
          <w:tcPr>
            <w:tcW w:w="0" w:type="dxa"/>
            <w:vAlign w:val="bottom"/>
          </w:tcPr>
          <w:p>
            <w:pPr>
              <w:spacing w:after="0"/>
              <w:rPr>
                <w:sz w:val="1"/>
                <w:szCs w:val="1"/>
                <w:color w:val="auto"/>
              </w:rPr>
            </w:pPr>
          </w:p>
        </w:tc>
      </w:tr>
      <w:tr>
        <w:trPr>
          <w:trHeight w:val="341"/>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tax liabilities</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81,399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95,203</w:t>
            </w:r>
          </w:p>
        </w:tc>
        <w:tc>
          <w:tcPr>
            <w:tcW w:w="0" w:type="dxa"/>
            <w:vAlign w:val="bottom"/>
          </w:tcPr>
          <w:p>
            <w:pPr>
              <w:spacing w:after="0"/>
              <w:rPr>
                <w:sz w:val="1"/>
                <w:szCs w:val="1"/>
                <w:color w:val="auto"/>
              </w:rPr>
            </w:pPr>
          </w:p>
        </w:tc>
      </w:tr>
      <w:tr>
        <w:trPr>
          <w:trHeight w:val="35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510,646</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138,302</w:t>
            </w:r>
          </w:p>
        </w:tc>
        <w:tc>
          <w:tcPr>
            <w:tcW w:w="0" w:type="dxa"/>
            <w:vAlign w:val="bottom"/>
          </w:tcPr>
          <w:p>
            <w:pPr>
              <w:spacing w:after="0"/>
              <w:rPr>
                <w:sz w:val="1"/>
                <w:szCs w:val="1"/>
                <w:color w:val="auto"/>
              </w:rPr>
            </w:pPr>
          </w:p>
        </w:tc>
      </w:tr>
      <w:tr>
        <w:trPr>
          <w:trHeight w:val="341"/>
        </w:trPr>
        <w:tc>
          <w:tcPr>
            <w:tcW w:w="7840" w:type="dxa"/>
            <w:vAlign w:val="bottom"/>
          </w:tcPr>
          <w:p>
            <w:pPr>
              <w:ind w:left="440"/>
              <w:spacing w:after="0"/>
              <w:rPr>
                <w:sz w:val="20"/>
                <w:szCs w:val="20"/>
                <w:color w:val="auto"/>
              </w:rPr>
            </w:pPr>
            <w:r>
              <w:rPr>
                <w:rFonts w:ascii="Times New Roman" w:cs="Times New Roman" w:eastAsia="Times New Roman" w:hAnsi="Times New Roman"/>
                <w:sz w:val="16"/>
                <w:szCs w:val="16"/>
                <w:color w:val="auto"/>
              </w:rPr>
              <w:t>Total liabilities</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4,741,995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3,924,228</w:t>
            </w:r>
          </w:p>
        </w:tc>
        <w:tc>
          <w:tcPr>
            <w:tcW w:w="0" w:type="dxa"/>
            <w:vAlign w:val="bottom"/>
          </w:tcPr>
          <w:p>
            <w:pPr>
              <w:spacing w:after="0"/>
              <w:rPr>
                <w:sz w:val="1"/>
                <w:szCs w:val="1"/>
                <w:color w:val="auto"/>
              </w:rPr>
            </w:pPr>
          </w:p>
        </w:tc>
      </w:tr>
      <w:tr>
        <w:trPr>
          <w:trHeight w:val="36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(Notes 2, 12, 14, and 16)</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Redeemable noncontrolling interests</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41,900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41,263</w:t>
            </w:r>
          </w:p>
        </w:tc>
        <w:tc>
          <w:tcPr>
            <w:tcW w:w="0" w:type="dxa"/>
            <w:vAlign w:val="bottom"/>
          </w:tcPr>
          <w:p>
            <w:pPr>
              <w:spacing w:after="0"/>
              <w:rPr>
                <w:sz w:val="1"/>
                <w:szCs w:val="1"/>
                <w:color w:val="auto"/>
              </w:rPr>
            </w:pPr>
          </w:p>
        </w:tc>
      </w:tr>
      <w:tr>
        <w:trPr>
          <w:trHeight w:val="361"/>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Preferred stock, $0.01 par value; 20,000 shares authorized; no shares issued and outstanding</w:t>
            </w:r>
          </w:p>
        </w:tc>
        <w:tc>
          <w:tcPr>
            <w:tcW w:w="220" w:type="dxa"/>
            <w:vAlign w:val="bottom"/>
          </w:tcPr>
          <w:p>
            <w:pPr>
              <w:spacing w:after="0"/>
              <w:rPr>
                <w:sz w:val="24"/>
                <w:szCs w:val="24"/>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72"/>
        </w:trPr>
        <w:tc>
          <w:tcPr>
            <w:tcW w:w="7840" w:type="dxa"/>
            <w:vAlign w:val="bottom"/>
            <w:shd w:val="clear" w:color="auto" w:fill="CCEEFF"/>
          </w:tcPr>
          <w:p>
            <w:pPr>
              <w:ind w:left="140"/>
              <w:spacing w:after="0" w:line="172" w:lineRule="exact"/>
              <w:rPr>
                <w:sz w:val="20"/>
                <w:szCs w:val="20"/>
                <w:color w:val="auto"/>
              </w:rPr>
            </w:pPr>
            <w:r>
              <w:rPr>
                <w:rFonts w:ascii="Times New Roman" w:cs="Times New Roman" w:eastAsia="Times New Roman" w:hAnsi="Times New Roman"/>
                <w:sz w:val="16"/>
                <w:szCs w:val="16"/>
                <w:color w:val="auto"/>
              </w:rPr>
              <w:t>Common stock, $0.01 par value; 120,000 shares authorized; 49,342 shares issued and 48,167 shares outstanding as of</w:t>
            </w:r>
          </w:p>
        </w:tc>
        <w:tc>
          <w:tcPr>
            <w:tcW w:w="220" w:type="dxa"/>
            <w:vAlign w:val="bottom"/>
            <w:shd w:val="clear" w:color="auto" w:fill="CCEEFF"/>
          </w:tcPr>
          <w:p>
            <w:pPr>
              <w:spacing w:after="0"/>
              <w:rPr>
                <w:sz w:val="14"/>
                <w:szCs w:val="14"/>
                <w:color w:val="auto"/>
              </w:rPr>
            </w:pP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16"/>
        </w:trPr>
        <w:tc>
          <w:tcPr>
            <w:tcW w:w="78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March 28, 2026, and 49,217 shares issued and outstanding as of December 27, 2025</w:t>
            </w:r>
          </w:p>
        </w:tc>
        <w:tc>
          <w:tcPr>
            <w:tcW w:w="220" w:type="dxa"/>
            <w:vAlign w:val="bottom"/>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41"/>
        </w:trPr>
        <w:tc>
          <w:tcPr>
            <w:tcW w:w="784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1,967,356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1,947,301</w:t>
            </w:r>
          </w:p>
        </w:tc>
        <w:tc>
          <w:tcPr>
            <w:tcW w:w="0" w:type="dxa"/>
            <w:vAlign w:val="bottom"/>
          </w:tcPr>
          <w:p>
            <w:pPr>
              <w:spacing w:after="0"/>
              <w:rPr>
                <w:sz w:val="1"/>
                <w:szCs w:val="1"/>
                <w:color w:val="auto"/>
              </w:rPr>
            </w:pPr>
          </w:p>
        </w:tc>
      </w:tr>
      <w:tr>
        <w:trPr>
          <w:trHeight w:val="361"/>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Retained earnings</w:t>
            </w:r>
          </w:p>
        </w:tc>
        <w:tc>
          <w:tcPr>
            <w:tcW w:w="220" w:type="dxa"/>
            <w:vAlign w:val="bottom"/>
            <w:shd w:val="clear" w:color="auto" w:fill="CCEEFF"/>
          </w:tcPr>
          <w:p>
            <w:pPr>
              <w:spacing w:after="0"/>
              <w:rPr>
                <w:sz w:val="24"/>
                <w:szCs w:val="24"/>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1,373,777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1,388,620</w:t>
            </w:r>
          </w:p>
        </w:tc>
        <w:tc>
          <w:tcPr>
            <w:tcW w:w="0" w:type="dxa"/>
            <w:vAlign w:val="bottom"/>
          </w:tcPr>
          <w:p>
            <w:pPr>
              <w:spacing w:after="0"/>
              <w:rPr>
                <w:sz w:val="1"/>
                <w:szCs w:val="1"/>
                <w:color w:val="auto"/>
              </w:rPr>
            </w:pPr>
          </w:p>
        </w:tc>
      </w:tr>
      <w:tr>
        <w:trPr>
          <w:trHeight w:val="348"/>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Treasury stock, at cost, 1,175 and zero shares, as of March 28, 2026 and December 27, 2025, respectively</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(209,990)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47"/>
        </w:trPr>
        <w:tc>
          <w:tcPr>
            <w:tcW w:w="78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(191,042)</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(171,783)</w:t>
            </w:r>
          </w:p>
        </w:tc>
        <w:tc>
          <w:tcPr>
            <w:tcW w:w="0" w:type="dxa"/>
            <w:vAlign w:val="bottom"/>
          </w:tcPr>
          <w:p>
            <w:pPr>
              <w:spacing w:after="0"/>
              <w:rPr>
                <w:sz w:val="1"/>
                <w:szCs w:val="1"/>
                <w:color w:val="auto"/>
              </w:rPr>
            </w:pPr>
          </w:p>
        </w:tc>
      </w:tr>
      <w:tr>
        <w:trPr>
          <w:trHeight w:val="341"/>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Charles River Laboratories International, Inc. equity</w:t>
            </w:r>
          </w:p>
        </w:tc>
        <w:tc>
          <w:tcPr>
            <w:tcW w:w="220" w:type="dxa"/>
            <w:vAlign w:val="bottom"/>
          </w:tcPr>
          <w:p>
            <w:pPr>
              <w:spacing w:after="0"/>
              <w:rPr>
                <w:sz w:val="24"/>
                <w:szCs w:val="2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2,940,594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3,164,630</w:t>
            </w:r>
          </w:p>
        </w:tc>
        <w:tc>
          <w:tcPr>
            <w:tcW w:w="0" w:type="dxa"/>
            <w:vAlign w:val="bottom"/>
          </w:tcPr>
          <w:p>
            <w:pPr>
              <w:spacing w:after="0"/>
              <w:rPr>
                <w:sz w:val="1"/>
                <w:szCs w:val="1"/>
                <w:color w:val="auto"/>
              </w:rPr>
            </w:pPr>
          </w:p>
        </w:tc>
      </w:tr>
      <w:tr>
        <w:trPr>
          <w:trHeight w:val="354"/>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Nonredeemable noncontrolling interest</w:t>
            </w:r>
          </w:p>
        </w:tc>
        <w:tc>
          <w:tcPr>
            <w:tcW w:w="220" w:type="dxa"/>
            <w:vAlign w:val="bottom"/>
            <w:tcBorders>
              <w:bottom w:val="single" w:sz="8" w:color="auto"/>
            </w:tcBorders>
            <w:shd w:val="clear" w:color="auto" w:fill="CCEEFF"/>
          </w:tcPr>
          <w:p>
            <w:pPr>
              <w:spacing w:after="0"/>
              <w:rPr>
                <w:sz w:val="24"/>
                <w:szCs w:val="2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5,819</w:t>
            </w:r>
          </w:p>
        </w:tc>
        <w:tc>
          <w:tcPr>
            <w:tcW w:w="12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5,301</w:t>
            </w:r>
          </w:p>
        </w:tc>
        <w:tc>
          <w:tcPr>
            <w:tcW w:w="0" w:type="dxa"/>
            <w:vAlign w:val="bottom"/>
          </w:tcPr>
          <w:p>
            <w:pPr>
              <w:spacing w:after="0"/>
              <w:rPr>
                <w:sz w:val="1"/>
                <w:szCs w:val="1"/>
                <w:color w:val="auto"/>
              </w:rPr>
            </w:pPr>
          </w:p>
        </w:tc>
      </w:tr>
      <w:tr>
        <w:trPr>
          <w:trHeight w:val="344"/>
        </w:trPr>
        <w:tc>
          <w:tcPr>
            <w:tcW w:w="784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Total equity</w:t>
            </w:r>
          </w:p>
        </w:tc>
        <w:tc>
          <w:tcPr>
            <w:tcW w:w="2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2,946,413</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3,169,931</w:t>
            </w:r>
          </w:p>
        </w:tc>
        <w:tc>
          <w:tcPr>
            <w:tcW w:w="0" w:type="dxa"/>
            <w:vAlign w:val="bottom"/>
          </w:tcPr>
          <w:p>
            <w:pPr>
              <w:spacing w:after="0"/>
              <w:rPr>
                <w:sz w:val="1"/>
                <w:szCs w:val="1"/>
                <w:color w:val="auto"/>
              </w:rPr>
            </w:pPr>
          </w:p>
        </w:tc>
      </w:tr>
      <w:tr>
        <w:trPr>
          <w:trHeight w:val="376"/>
        </w:trPr>
        <w:tc>
          <w:tcPr>
            <w:tcW w:w="78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liabilities, redeemable noncontrolling interests and equity</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7,730,308</w:t>
            </w: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7,135,422</w:t>
            </w:r>
          </w:p>
        </w:tc>
        <w:tc>
          <w:tcPr>
            <w:tcW w:w="0" w:type="dxa"/>
            <w:vAlign w:val="bottom"/>
          </w:tcPr>
          <w:p>
            <w:pPr>
              <w:spacing w:after="0"/>
              <w:rPr>
                <w:sz w:val="1"/>
                <w:szCs w:val="1"/>
                <w:color w:val="auto"/>
              </w:rPr>
            </w:pPr>
          </w:p>
        </w:tc>
      </w:tr>
      <w:tr>
        <w:trPr>
          <w:trHeight w:val="20"/>
        </w:trPr>
        <w:tc>
          <w:tcPr>
            <w:tcW w:w="7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sectPr>
          <w:pgSz w:w="11900" w:h="16838" w:orient="portrait"/>
          <w:cols w:equalWidth="0" w:num="1">
            <w:col w:w="11240"/>
          </w:cols>
          <w:pgMar w:left="320" w:top="887" w:right="339" w:bottom="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See Notes to Unaudited Condensed Consolidated Financial Statements.</w:t>
      </w:r>
    </w:p>
    <w:p>
      <w:pPr>
        <w:sectPr>
          <w:pgSz w:w="11900" w:h="16838" w:orient="portrait"/>
          <w:cols w:equalWidth="0" w:num="1">
            <w:col w:w="11240"/>
          </w:cols>
          <w:pgMar w:left="320" w:top="887" w:right="339" w:bottom="0" w:gutter="0" w:footer="0" w:header="0"/>
          <w:type w:val="continuous"/>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87630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7" w:name="page8"/>
    <w:bookmarkEnd w:id="7"/>
    <w:p>
      <w:pPr>
        <w:jc w:val="center"/>
        <w:ind w:left="340" w:right="2280"/>
        <w:spacing w:after="0" w:line="268" w:lineRule="auto"/>
        <w:rPr>
          <w:sz w:val="20"/>
          <w:szCs w:val="20"/>
          <w:color w:val="auto"/>
        </w:rPr>
      </w:pPr>
      <w:r>
        <w:rPr>
          <w:rFonts w:ascii="Times New Roman" w:cs="Times New Roman" w:eastAsia="Times New Roman" w:hAnsi="Times New Roman"/>
          <w:sz w:val="18"/>
          <w:szCs w:val="18"/>
          <w:b w:val="1"/>
          <w:bCs w:val="1"/>
          <w:color w:val="auto"/>
        </w:rPr>
        <w:t>CHARLES RIVER LABORATORIES INTERNATIONAL, INC. CONDENSED CONSOLIDATED STATEMENTS OF CASH FLOWS (UNAUDITED) (in thousands)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180" w:type="dxa"/>
            <w:vAlign w:val="bottom"/>
            <w:gridSpan w:val="4"/>
          </w:tcPr>
          <w:p>
            <w:pPr>
              <w:jc w:val="right"/>
              <w:ind w:right="95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7"/>
        </w:trPr>
        <w:tc>
          <w:tcPr>
            <w:tcW w:w="78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42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37"/>
        </w:trPr>
        <w:tc>
          <w:tcPr>
            <w:tcW w:w="78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relating to operating activities</w:t>
            </w: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78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25,878</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Adjustments to reconcile net income (loss) to net cash provided by operating activities: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67,151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120,364</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Long-lived asset impairments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15,863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Stock-based compensation</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22,381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13,135</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(29,417)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(19,041)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Write down of inventories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6,762</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Losses and impairments on venture capital and strategic equity investments,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10,374</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Provision for credit losses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2,007</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divestitures,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117,981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(3,376)</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(34,675)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3,731</w:t>
            </w:r>
          </w:p>
        </w:tc>
        <w:tc>
          <w:tcPr>
            <w:tcW w:w="0" w:type="dxa"/>
            <w:vAlign w:val="bottom"/>
          </w:tcPr>
          <w:p>
            <w:pPr>
              <w:spacing w:after="0"/>
              <w:rPr>
                <w:sz w:val="1"/>
                <w:szCs w:val="1"/>
                <w:color w:val="auto"/>
              </w:rPr>
            </w:pPr>
          </w:p>
        </w:tc>
      </w:tr>
      <w:tr>
        <w:trPr>
          <w:trHeight w:val="213"/>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(65,319)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(29,353)</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26,004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(21,882)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25,251</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Accrued compensation</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(83,758)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15,263</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revenue</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(1,213)</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contract deposits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9,167</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 and liabilities,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(8,523)</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4,054</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41,077</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171,697</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relating to investing activities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Acquisition of businesses and assets, net of cash acquired</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(405,006)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Capital expenditures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(59,324)</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investments and contributions to venture capital investments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(8,492)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(5,302)</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sale of investments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businesses and assets, net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7"/>
        </w:trPr>
        <w:tc>
          <w:tcPr>
            <w:tcW w:w="78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(407,845)</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(45,479)</w:t>
            </w:r>
          </w:p>
        </w:tc>
        <w:tc>
          <w:tcPr>
            <w:tcW w:w="0" w:type="dxa"/>
            <w:vAlign w:val="bottom"/>
          </w:tcPr>
          <w:p>
            <w:pPr>
              <w:spacing w:after="0"/>
              <w:rPr>
                <w:sz w:val="1"/>
                <w:szCs w:val="1"/>
                <w:color w:val="auto"/>
              </w:rPr>
            </w:pPr>
          </w:p>
        </w:tc>
      </w:tr>
      <w:tr>
        <w:trPr>
          <w:trHeight w:val="212"/>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relating to financing activities</w:t>
            </w: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912,462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416,341</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(355,676)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(149,394)</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(208,285)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(353,132)</w:t>
            </w:r>
          </w:p>
        </w:tc>
        <w:tc>
          <w:tcPr>
            <w:tcW w:w="0" w:type="dxa"/>
            <w:vAlign w:val="bottom"/>
          </w:tcPr>
          <w:p>
            <w:pPr>
              <w:spacing w:after="0"/>
              <w:rPr>
                <w:sz w:val="1"/>
                <w:szCs w:val="1"/>
                <w:color w:val="auto"/>
              </w:rPr>
            </w:pPr>
          </w:p>
        </w:tc>
      </w:tr>
      <w:tr>
        <w:trPr>
          <w:trHeight w:val="213"/>
        </w:trPr>
        <w:tc>
          <w:tcPr>
            <w:tcW w:w="7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 of remaining equity interest of other redeemable noncontrolling interests</w:t>
            </w:r>
          </w:p>
        </w:tc>
        <w:tc>
          <w:tcPr>
            <w:tcW w:w="22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(19,140)</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net</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7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347,724</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(105,325)</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5,265</w:t>
            </w:r>
          </w:p>
        </w:tc>
        <w:tc>
          <w:tcPr>
            <w:tcW w:w="0" w:type="dxa"/>
            <w:vAlign w:val="bottom"/>
          </w:tcPr>
          <w:p>
            <w:pPr>
              <w:spacing w:after="0"/>
              <w:rPr>
                <w:sz w:val="1"/>
                <w:szCs w:val="1"/>
                <w:color w:val="auto"/>
              </w:rPr>
            </w:pPr>
          </w:p>
        </w:tc>
      </w:tr>
      <w:tr>
        <w:trPr>
          <w:trHeight w:val="207"/>
        </w:trPr>
        <w:tc>
          <w:tcPr>
            <w:tcW w:w="7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cash, cash equivalents, and restricted cash</w:t>
            </w: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(17,796)</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26,158</w:t>
            </w:r>
          </w:p>
        </w:tc>
        <w:tc>
          <w:tcPr>
            <w:tcW w:w="0" w:type="dxa"/>
            <w:vAlign w:val="bottom"/>
          </w:tcPr>
          <w:p>
            <w:pPr>
              <w:spacing w:after="0"/>
              <w:rPr>
                <w:sz w:val="1"/>
                <w:szCs w:val="1"/>
                <w:color w:val="auto"/>
              </w:rPr>
            </w:pPr>
          </w:p>
        </w:tc>
      </w:tr>
      <w:tr>
        <w:trPr>
          <w:trHeight w:val="219"/>
        </w:trPr>
        <w:tc>
          <w:tcPr>
            <w:tcW w:w="7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215,997</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205,570</w:t>
            </w:r>
          </w:p>
        </w:tc>
        <w:tc>
          <w:tcPr>
            <w:tcW w:w="0" w:type="dxa"/>
            <w:vAlign w:val="bottom"/>
          </w:tcPr>
          <w:p>
            <w:pPr>
              <w:spacing w:after="0"/>
              <w:rPr>
                <w:sz w:val="1"/>
                <w:szCs w:val="1"/>
                <w:color w:val="auto"/>
              </w:rPr>
            </w:pPr>
          </w:p>
        </w:tc>
      </w:tr>
      <w:tr>
        <w:trPr>
          <w:trHeight w:val="183"/>
        </w:trPr>
        <w:tc>
          <w:tcPr>
            <w:tcW w:w="784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220" w:type="dxa"/>
            <w:vAlign w:val="bottom"/>
            <w:tcBorders>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198,201</w:t>
            </w:r>
          </w:p>
        </w:tc>
        <w:tc>
          <w:tcPr>
            <w:tcW w:w="120" w:type="dxa"/>
            <w:vAlign w:val="bottom"/>
          </w:tcPr>
          <w:p>
            <w:pPr>
              <w:spacing w:after="0"/>
              <w:rPr>
                <w:sz w:val="15"/>
                <w:szCs w:val="15"/>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231,728</w:t>
            </w:r>
          </w:p>
        </w:tc>
        <w:tc>
          <w:tcPr>
            <w:tcW w:w="0" w:type="dxa"/>
            <w:vAlign w:val="bottom"/>
          </w:tcPr>
          <w:p>
            <w:pPr>
              <w:spacing w:after="0"/>
              <w:rPr>
                <w:sz w:val="1"/>
                <w:szCs w:val="1"/>
                <w:color w:val="auto"/>
              </w:rPr>
            </w:pPr>
          </w:p>
        </w:tc>
      </w:tr>
      <w:tr>
        <w:trPr>
          <w:trHeight w:val="20"/>
        </w:trPr>
        <w:tc>
          <w:tcPr>
            <w:tcW w:w="7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8" w:name="page9"/>
    <w:bookmarkEnd w:id="8"/>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EQUITY AND REDEEMABLE NONCONTROLLING INTERESTS</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63"/>
        </w:trPr>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12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22"/>
                <w:szCs w:val="22"/>
                <w:color w:val="auto"/>
              </w:rPr>
            </w:pPr>
          </w:p>
        </w:tc>
        <w:tc>
          <w:tcPr>
            <w:tcW w:w="9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 Charles</w:t>
            </w: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right w:val="single" w:sz="8" w:color="auto"/>
            </w:tcBorders>
            <w:vMerge w:val="restart"/>
          </w:tcPr>
          <w:p>
            <w:pPr>
              <w:jc w:val="center"/>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1280" w:type="dxa"/>
            <w:vAlign w:val="bottom"/>
            <w:gridSpan w:val="5"/>
            <w:vMerge w:val="continue"/>
          </w:tcPr>
          <w:p>
            <w:pPr>
              <w:spacing w:after="0"/>
              <w:rPr>
                <w:sz w:val="7"/>
                <w:szCs w:val="7"/>
                <w:color w:val="auto"/>
              </w:rPr>
            </w:pPr>
          </w:p>
        </w:tc>
        <w:tc>
          <w:tcPr>
            <w:tcW w:w="840" w:type="dxa"/>
            <w:vAlign w:val="bottom"/>
            <w:gridSpan w:val="3"/>
            <w:vMerge w:val="restart"/>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restart"/>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restart"/>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River</w:t>
            </w: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right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Laboratories,</w:t>
            </w: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62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Borders>
              <w:bottom w:val="single" w:sz="8" w:color="CCEEFF"/>
            </w:tcBorders>
          </w:tcPr>
          <w:p>
            <w:pPr>
              <w:spacing w:after="0"/>
              <w:rPr>
                <w:sz w:val="17"/>
                <w:szCs w:val="17"/>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Inc. Equity</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290"/>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41,263</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49,217</w:t>
            </w:r>
          </w:p>
        </w:tc>
        <w:tc>
          <w:tcPr>
            <w:tcW w:w="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492</w:t>
            </w:r>
          </w:p>
        </w:tc>
        <w:tc>
          <w:tcPr>
            <w:tcW w:w="8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1,947,301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1,388,620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(171,783)</w:t>
            </w:r>
          </w:p>
        </w:tc>
        <w:tc>
          <w:tcPr>
            <w:tcW w:w="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3,164,630</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5,301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3,169,931</w:t>
            </w:r>
          </w:p>
        </w:tc>
        <w:tc>
          <w:tcPr>
            <w:tcW w:w="0" w:type="dxa"/>
            <w:vAlign w:val="bottom"/>
          </w:tcPr>
          <w:p>
            <w:pPr>
              <w:spacing w:after="0"/>
              <w:rPr>
                <w:sz w:val="1"/>
                <w:szCs w:val="1"/>
                <w:color w:val="auto"/>
              </w:rPr>
            </w:pPr>
          </w:p>
        </w:tc>
      </w:tr>
      <w:tr>
        <w:trPr>
          <w:trHeight w:val="281"/>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(loss)</w:t>
            </w:r>
          </w:p>
        </w:tc>
        <w:tc>
          <w:tcPr>
            <w:tcW w:w="100" w:type="dxa"/>
            <w:vAlign w:val="bottom"/>
          </w:tcPr>
          <w:p>
            <w:pPr>
              <w:spacing w:after="0"/>
              <w:rPr>
                <w:sz w:val="24"/>
                <w:szCs w:val="2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(477)</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24"/>
                <w:szCs w:val="2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24"/>
                <w:szCs w:val="2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(14,843)</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(14,325)</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comprehensive</w:t>
            </w:r>
          </w:p>
        </w:tc>
        <w:tc>
          <w:tcPr>
            <w:tcW w:w="100" w:type="dxa"/>
            <w:vAlign w:val="bottom"/>
            <w:shd w:val="clear" w:color="auto" w:fill="CCEEFF"/>
          </w:tcPr>
          <w:p>
            <w:pPr>
              <w:spacing w:after="0"/>
              <w:rPr>
                <w:sz w:val="23"/>
                <w:szCs w:val="23"/>
                <w:color w:val="auto"/>
              </w:rPr>
            </w:pPr>
          </w:p>
        </w:tc>
        <w:tc>
          <w:tcPr>
            <w:tcW w:w="940" w:type="dxa"/>
            <w:vAlign w:val="bottom"/>
            <w:tcBorders>
              <w:right w:val="single" w:sz="8" w:color="auto"/>
            </w:tcBorders>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3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6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4"/>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(loss), net of tax</w:t>
            </w:r>
          </w:p>
        </w:tc>
        <w:tc>
          <w:tcPr>
            <w:tcW w:w="10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(434)</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(19,259)</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(19,259)</w:t>
            </w:r>
          </w:p>
        </w:tc>
        <w:tc>
          <w:tcPr>
            <w:tcW w:w="8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(19,259)</w:t>
            </w: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Dividends declared to</w:t>
            </w:r>
          </w:p>
        </w:tc>
        <w:tc>
          <w:tcPr>
            <w:tcW w:w="10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00" w:type="dxa"/>
            <w:vAlign w:val="bottom"/>
          </w:tcPr>
          <w:p>
            <w:pPr>
              <w:spacing w:after="0"/>
              <w:rPr>
                <w:sz w:val="15"/>
                <w:szCs w:val="15"/>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(2,000)</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9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9"/>
        </w:trPr>
        <w:tc>
          <w:tcPr>
            <w:tcW w:w="1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Adjustment of redeemable</w:t>
            </w:r>
          </w:p>
        </w:tc>
        <w:tc>
          <w:tcPr>
            <w:tcW w:w="100" w:type="dxa"/>
            <w:vAlign w:val="bottom"/>
            <w:shd w:val="clear" w:color="auto" w:fill="CCEEFF"/>
          </w:tcPr>
          <w:p>
            <w:pPr>
              <w:spacing w:after="0"/>
              <w:rPr>
                <w:sz w:val="11"/>
                <w:szCs w:val="11"/>
                <w:color w:val="auto"/>
              </w:rPr>
            </w:pPr>
          </w:p>
        </w:tc>
        <w:tc>
          <w:tcPr>
            <w:tcW w:w="94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interests to</w:t>
            </w:r>
          </w:p>
        </w:tc>
        <w:tc>
          <w:tcPr>
            <w:tcW w:w="100" w:type="dxa"/>
            <w:vAlign w:val="bottom"/>
            <w:shd w:val="clear" w:color="auto" w:fill="CCEEFF"/>
          </w:tcPr>
          <w:p>
            <w:pPr>
              <w:spacing w:after="0"/>
              <w:rPr>
                <w:sz w:val="11"/>
                <w:szCs w:val="11"/>
                <w:color w:val="auto"/>
              </w:rPr>
            </w:pPr>
          </w:p>
        </w:tc>
        <w:tc>
          <w:tcPr>
            <w:tcW w:w="94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3,548</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(3,548)</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(3,548)</w:t>
            </w: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under</w:t>
            </w:r>
          </w:p>
        </w:tc>
        <w:tc>
          <w:tcPr>
            <w:tcW w:w="10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1,223</w:t>
            </w: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100" w:type="dxa"/>
            <w:vAlign w:val="bottom"/>
          </w:tcPr>
          <w:p>
            <w:pPr>
              <w:spacing w:after="0"/>
              <w:rPr>
                <w:sz w:val="14"/>
                <w:szCs w:val="14"/>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1,222</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Purchase of treasury</w:t>
            </w:r>
          </w:p>
        </w:tc>
        <w:tc>
          <w:tcPr>
            <w:tcW w:w="100" w:type="dxa"/>
            <w:vAlign w:val="bottom"/>
            <w:shd w:val="clear" w:color="auto" w:fill="CCEEFF"/>
          </w:tcPr>
          <w:p>
            <w:pPr>
              <w:spacing w:after="0"/>
              <w:rPr>
                <w:sz w:val="11"/>
                <w:szCs w:val="11"/>
                <w:color w:val="auto"/>
              </w:rPr>
            </w:pPr>
          </w:p>
        </w:tc>
        <w:tc>
          <w:tcPr>
            <w:tcW w:w="94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(208,285)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(208,285)</w:t>
            </w:r>
          </w:p>
        </w:tc>
        <w:tc>
          <w:tcPr>
            <w:tcW w:w="0" w:type="dxa"/>
            <w:vAlign w:val="bottom"/>
          </w:tcPr>
          <w:p>
            <w:pPr>
              <w:spacing w:after="0"/>
              <w:rPr>
                <w:sz w:val="1"/>
                <w:szCs w:val="1"/>
                <w:color w:val="auto"/>
              </w:rPr>
            </w:pPr>
          </w:p>
        </w:tc>
      </w:tr>
      <w:tr>
        <w:trPr>
          <w:trHeight w:val="265"/>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repurchase excise</w:t>
            </w:r>
          </w:p>
        </w:tc>
        <w:tc>
          <w:tcPr>
            <w:tcW w:w="10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100" w:type="dxa"/>
            <w:vAlign w:val="bottom"/>
          </w:tcPr>
          <w:p>
            <w:pPr>
              <w:spacing w:after="0"/>
              <w:rPr>
                <w:sz w:val="14"/>
                <w:szCs w:val="14"/>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(1,705)</w:t>
            </w:r>
          </w:p>
        </w:tc>
        <w:tc>
          <w:tcPr>
            <w:tcW w:w="0" w:type="dxa"/>
            <w:vAlign w:val="bottom"/>
          </w:tcPr>
          <w:p>
            <w:pPr>
              <w:spacing w:after="0"/>
              <w:rPr>
                <w:sz w:val="1"/>
                <w:szCs w:val="1"/>
                <w:color w:val="auto"/>
              </w:rPr>
            </w:pPr>
          </w:p>
        </w:tc>
      </w:tr>
      <w:tr>
        <w:trPr>
          <w:trHeight w:val="29"/>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1"/>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22,381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22,381</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22,381</w:t>
            </w:r>
          </w:p>
        </w:tc>
        <w:tc>
          <w:tcPr>
            <w:tcW w:w="0" w:type="dxa"/>
            <w:vAlign w:val="bottom"/>
          </w:tcPr>
          <w:p>
            <w:pPr>
              <w:spacing w:after="0"/>
              <w:rPr>
                <w:sz w:val="1"/>
                <w:szCs w:val="1"/>
                <w:color w:val="auto"/>
              </w:rPr>
            </w:pPr>
          </w:p>
        </w:tc>
      </w:tr>
      <w:tr>
        <w:trPr>
          <w:trHeight w:val="30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41,900</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49,342</w:t>
            </w:r>
          </w:p>
        </w:tc>
        <w:tc>
          <w:tcPr>
            <w:tcW w:w="80" w:type="dxa"/>
            <w:vAlign w:val="bottom"/>
          </w:tcPr>
          <w:p>
            <w:pPr>
              <w:spacing w:after="0"/>
              <w:rPr>
                <w:sz w:val="24"/>
                <w:szCs w:val="24"/>
                <w:color w:val="auto"/>
              </w:rPr>
            </w:pPr>
          </w:p>
        </w:tc>
        <w:tc>
          <w:tcPr>
            <w:tcW w:w="2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493</w:t>
            </w:r>
          </w:p>
        </w:tc>
        <w:tc>
          <w:tcPr>
            <w:tcW w:w="8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1,967,356</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1,373,777</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(191,042)</w:t>
            </w:r>
          </w:p>
        </w:tc>
        <w:tc>
          <w:tcPr>
            <w:tcW w:w="80" w:type="dxa"/>
            <w:vAlign w:val="bottom"/>
          </w:tcPr>
          <w:p>
            <w:pPr>
              <w:spacing w:after="0"/>
              <w:rPr>
                <w:sz w:val="24"/>
                <w:szCs w:val="24"/>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1,175</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(209,990)</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2,940,594</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5,819</w:t>
            </w:r>
          </w:p>
        </w:tc>
        <w:tc>
          <w:tcPr>
            <w:tcW w:w="80" w:type="dxa"/>
            <w:vAlign w:val="bottom"/>
          </w:tcPr>
          <w:p>
            <w:pPr>
              <w:spacing w:after="0"/>
              <w:rPr>
                <w:sz w:val="24"/>
                <w:szCs w:val="2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2,946,413</w:t>
            </w:r>
          </w:p>
        </w:tc>
        <w:tc>
          <w:tcPr>
            <w:tcW w:w="0" w:type="dxa"/>
            <w:vAlign w:val="bottom"/>
          </w:tcPr>
          <w:p>
            <w:pPr>
              <w:spacing w:after="0"/>
              <w:rPr>
                <w:sz w:val="1"/>
                <w:szCs w:val="1"/>
                <w:color w:val="auto"/>
              </w:rPr>
            </w:pPr>
          </w:p>
        </w:tc>
      </w:tr>
      <w:tr>
        <w:trPr>
          <w:trHeight w:val="540"/>
        </w:trPr>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80" w:type="dxa"/>
            <w:vAlign w:val="bottom"/>
            <w:gridSpan w:val="5"/>
            <w:vMerge w:val="restart"/>
          </w:tcPr>
          <w:p>
            <w:pPr>
              <w:ind w:left="18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400" w:type="dxa"/>
            <w:vAlign w:val="bottom"/>
            <w:gridSpan w:val="5"/>
            <w:vMerge w:val="restart"/>
          </w:tcPr>
          <w:p>
            <w:pPr>
              <w:ind w:left="260"/>
              <w:spacing w:after="0"/>
              <w:rPr>
                <w:sz w:val="20"/>
                <w:szCs w:val="20"/>
                <w:color w:val="auto"/>
              </w:rPr>
            </w:pPr>
            <w:r>
              <w:rPr>
                <w:rFonts w:ascii="Times New Roman" w:cs="Times New Roman" w:eastAsia="Times New Roman" w:hAnsi="Times New Roman"/>
                <w:sz w:val="13"/>
                <w:szCs w:val="13"/>
                <w:b w:val="1"/>
                <w:bCs w:val="1"/>
                <w:color w:val="auto"/>
              </w:rPr>
              <w:t>Treasury Stock</w:t>
            </w:r>
          </w:p>
        </w:tc>
        <w:tc>
          <w:tcPr>
            <w:tcW w:w="120" w:type="dxa"/>
            <w:vAlign w:val="bottom"/>
          </w:tcPr>
          <w:p>
            <w:pPr>
              <w:spacing w:after="0"/>
              <w:rPr>
                <w:sz w:val="24"/>
                <w:szCs w:val="24"/>
                <w:color w:val="auto"/>
              </w:rPr>
            </w:pPr>
          </w:p>
        </w:tc>
        <w:tc>
          <w:tcPr>
            <w:tcW w:w="9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4"/>
              </w:rPr>
              <w:t>Total Charles</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Borders>
              <w:right w:val="single" w:sz="8" w:color="auto"/>
            </w:tcBorders>
          </w:tcPr>
          <w:p>
            <w:pPr>
              <w:spacing w:after="0"/>
              <w:rPr>
                <w:sz w:val="22"/>
                <w:szCs w:val="22"/>
                <w:color w:val="auto"/>
              </w:rPr>
            </w:pPr>
          </w:p>
        </w:tc>
        <w:tc>
          <w:tcPr>
            <w:tcW w:w="1280" w:type="dxa"/>
            <w:vAlign w:val="bottom"/>
            <w:gridSpan w:val="5"/>
            <w:vMerge w:val="continue"/>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gridSpan w:val="2"/>
            <w:vMerge w:val="continue"/>
          </w:tcPr>
          <w:p>
            <w:pPr>
              <w:spacing w:after="0"/>
              <w:rPr>
                <w:sz w:val="22"/>
                <w:szCs w:val="22"/>
                <w:color w:val="auto"/>
              </w:rPr>
            </w:pPr>
          </w:p>
        </w:tc>
        <w:tc>
          <w:tcPr>
            <w:tcW w:w="1400" w:type="dxa"/>
            <w:vAlign w:val="bottom"/>
            <w:gridSpan w:val="5"/>
            <w:vMerge w:val="continue"/>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gridSpan w:val="2"/>
            <w:vMerge w:val="continue"/>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5"/>
        </w:trPr>
        <w:tc>
          <w:tcPr>
            <w:tcW w:w="142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Borders>
              <w:right w:val="single" w:sz="8" w:color="auto"/>
            </w:tcBorders>
            <w:vMerge w:val="restart"/>
          </w:tcPr>
          <w:p>
            <w:pPr>
              <w:jc w:val="center"/>
              <w:ind w:right="57"/>
              <w:spacing w:after="0" w:line="109" w:lineRule="exact"/>
              <w:rPr>
                <w:sz w:val="20"/>
                <w:szCs w:val="20"/>
                <w:color w:val="auto"/>
              </w:rPr>
            </w:pPr>
            <w:r>
              <w:rPr>
                <w:rFonts w:ascii="Times New Roman" w:cs="Times New Roman" w:eastAsia="Times New Roman" w:hAnsi="Times New Roman"/>
                <w:sz w:val="12"/>
                <w:szCs w:val="12"/>
                <w:b w:val="1"/>
                <w:bCs w:val="1"/>
                <w:color w:val="auto"/>
              </w:rPr>
              <w:t>Redeemable</w:t>
            </w:r>
          </w:p>
        </w:tc>
        <w:tc>
          <w:tcPr>
            <w:tcW w:w="1280" w:type="dxa"/>
            <w:vAlign w:val="bottom"/>
            <w:gridSpan w:val="5"/>
            <w:vMerge w:val="continue"/>
          </w:tcPr>
          <w:p>
            <w:pPr>
              <w:spacing w:after="0"/>
              <w:rPr>
                <w:sz w:val="7"/>
                <w:szCs w:val="7"/>
                <w:color w:val="auto"/>
              </w:rPr>
            </w:pPr>
          </w:p>
        </w:tc>
        <w:tc>
          <w:tcPr>
            <w:tcW w:w="840" w:type="dxa"/>
            <w:vAlign w:val="bottom"/>
            <w:gridSpan w:val="3"/>
            <w:vMerge w:val="restart"/>
          </w:tcPr>
          <w:p>
            <w:pPr>
              <w:jc w:val="center"/>
              <w:ind w:right="80"/>
              <w:spacing w:after="0" w:line="109" w:lineRule="exact"/>
              <w:rPr>
                <w:sz w:val="20"/>
                <w:szCs w:val="20"/>
                <w:color w:val="auto"/>
              </w:rPr>
            </w:pPr>
            <w:r>
              <w:rPr>
                <w:rFonts w:ascii="Times New Roman" w:cs="Times New Roman" w:eastAsia="Times New Roman" w:hAnsi="Times New Roman"/>
                <w:sz w:val="12"/>
                <w:szCs w:val="12"/>
                <w:b w:val="1"/>
                <w:bCs w:val="1"/>
                <w:color w:val="auto"/>
              </w:rPr>
              <w:t>Additional</w:t>
            </w: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40" w:type="dxa"/>
            <w:vAlign w:val="bottom"/>
            <w:gridSpan w:val="2"/>
            <w:vMerge w:val="restart"/>
          </w:tcPr>
          <w:p>
            <w:pPr>
              <w:jc w:val="center"/>
              <w:ind w:right="200"/>
              <w:spacing w:after="0" w:line="109" w:lineRule="exact"/>
              <w:rPr>
                <w:sz w:val="20"/>
                <w:szCs w:val="20"/>
                <w:color w:val="auto"/>
              </w:rPr>
            </w:pPr>
            <w:r>
              <w:rPr>
                <w:rFonts w:ascii="Times New Roman" w:cs="Times New Roman" w:eastAsia="Times New Roman" w:hAnsi="Times New Roman"/>
                <w:sz w:val="12"/>
                <w:szCs w:val="12"/>
                <w:b w:val="1"/>
                <w:bCs w:val="1"/>
                <w:color w:val="auto"/>
              </w:rPr>
              <w:t>Other</w:t>
            </w:r>
          </w:p>
        </w:tc>
        <w:tc>
          <w:tcPr>
            <w:tcW w:w="1400" w:type="dxa"/>
            <w:vAlign w:val="bottom"/>
            <w:gridSpan w:val="5"/>
            <w:vMerge w:val="continue"/>
          </w:tcPr>
          <w:p>
            <w:pPr>
              <w:spacing w:after="0"/>
              <w:rPr>
                <w:sz w:val="7"/>
                <w:szCs w:val="7"/>
                <w:color w:val="auto"/>
              </w:rPr>
            </w:pPr>
          </w:p>
        </w:tc>
        <w:tc>
          <w:tcPr>
            <w:tcW w:w="120" w:type="dxa"/>
            <w:vAlign w:val="bottom"/>
          </w:tcPr>
          <w:p>
            <w:pPr>
              <w:spacing w:after="0"/>
              <w:rPr>
                <w:sz w:val="7"/>
                <w:szCs w:val="7"/>
                <w:color w:val="auto"/>
              </w:rPr>
            </w:pPr>
          </w:p>
        </w:tc>
        <w:tc>
          <w:tcPr>
            <w:tcW w:w="920" w:type="dxa"/>
            <w:vAlign w:val="bottom"/>
            <w:gridSpan w:val="2"/>
            <w:vMerge w:val="restart"/>
          </w:tcPr>
          <w:p>
            <w:pPr>
              <w:jc w:val="center"/>
              <w:ind w:right="180"/>
              <w:spacing w:after="0" w:line="109" w:lineRule="exact"/>
              <w:rPr>
                <w:sz w:val="20"/>
                <w:szCs w:val="20"/>
                <w:color w:val="auto"/>
              </w:rPr>
            </w:pPr>
            <w:r>
              <w:rPr>
                <w:rFonts w:ascii="Times New Roman" w:cs="Times New Roman" w:eastAsia="Times New Roman" w:hAnsi="Times New Roman"/>
                <w:sz w:val="12"/>
                <w:szCs w:val="12"/>
                <w:b w:val="1"/>
                <w:bCs w:val="1"/>
                <w:color w:val="auto"/>
              </w:rPr>
              <w:t>River</w:t>
            </w:r>
          </w:p>
        </w:tc>
        <w:tc>
          <w:tcPr>
            <w:tcW w:w="12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vMerge w:val="continue"/>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gridSpan w:val="2"/>
            <w:vMerge w:val="continue"/>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2"/>
        </w:trPr>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Borders>
              <w:right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5"/>
              </w:rPr>
              <w:t>Noncontrolling</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Paid-In</w:t>
            </w:r>
          </w:p>
        </w:tc>
        <w:tc>
          <w:tcPr>
            <w:tcW w:w="12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Laboratories,</w:t>
            </w:r>
          </w:p>
        </w:tc>
        <w:tc>
          <w:tcPr>
            <w:tcW w:w="12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7"/>
              </w:rPr>
              <w:t>Noncontrolling</w:t>
            </w: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1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0" w:type="dxa"/>
            <w:vAlign w:val="bottom"/>
            <w:tcBorders>
              <w:bottom w:val="single" w:sz="8" w:color="auto"/>
              <w:right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4"/>
              </w:rPr>
              <w:t>Interests</w:t>
            </w:r>
          </w:p>
        </w:tc>
        <w:tc>
          <w:tcPr>
            <w:tcW w:w="5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7"/>
                <w:szCs w:val="17"/>
                <w:color w:val="auto"/>
              </w:rPr>
            </w:pPr>
          </w:p>
        </w:tc>
        <w:tc>
          <w:tcPr>
            <w:tcW w:w="620" w:type="dxa"/>
            <w:vAlign w:val="bottom"/>
            <w:tcBorders>
              <w:bottom w:val="single" w:sz="8" w:color="auto"/>
            </w:tcBorders>
            <w:gridSpan w:val="2"/>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Income (Loss)</w:t>
            </w:r>
          </w:p>
        </w:tc>
        <w:tc>
          <w:tcPr>
            <w:tcW w:w="80" w:type="dxa"/>
            <w:vAlign w:val="bottom"/>
          </w:tcPr>
          <w:p>
            <w:pPr>
              <w:spacing w:after="0"/>
              <w:rPr>
                <w:sz w:val="17"/>
                <w:szCs w:val="17"/>
                <w:color w:val="auto"/>
              </w:rPr>
            </w:pPr>
          </w:p>
        </w:tc>
        <w:tc>
          <w:tcPr>
            <w:tcW w:w="54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w w:val="96"/>
              </w:rPr>
              <w:t>Inc. Equity</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3"/>
                <w:szCs w:val="13"/>
                <w:b w:val="1"/>
                <w:bCs w:val="1"/>
                <w:color w:val="auto"/>
                <w:w w:val="96"/>
              </w:rPr>
              <w:t>Interest</w:t>
            </w: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w w:val="93"/>
              </w:rPr>
              <w:t>Total Equity</w:t>
            </w:r>
          </w:p>
        </w:tc>
        <w:tc>
          <w:tcPr>
            <w:tcW w:w="0" w:type="dxa"/>
            <w:vAlign w:val="bottom"/>
          </w:tcPr>
          <w:p>
            <w:pPr>
              <w:spacing w:after="0"/>
              <w:rPr>
                <w:sz w:val="1"/>
                <w:szCs w:val="1"/>
                <w:color w:val="auto"/>
              </w:rPr>
            </w:pPr>
          </w:p>
        </w:tc>
      </w:tr>
      <w:tr>
        <w:trPr>
          <w:trHeight w:val="281"/>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28, 2024</w:t>
            </w:r>
          </w:p>
        </w:tc>
        <w:tc>
          <w:tcPr>
            <w:tcW w:w="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41,126</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51,141</w:t>
            </w:r>
          </w:p>
        </w:tc>
        <w:tc>
          <w:tcPr>
            <w:tcW w:w="80" w:type="dxa"/>
            <w:vAlign w:val="bottom"/>
          </w:tcPr>
          <w:p>
            <w:pPr>
              <w:spacing w:after="0"/>
              <w:rPr>
                <w:sz w:val="24"/>
                <w:szCs w:val="24"/>
                <w:color w:val="auto"/>
              </w:rPr>
            </w:pPr>
          </w:p>
        </w:tc>
        <w:tc>
          <w:tcPr>
            <w:tcW w:w="2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511</w:t>
            </w:r>
          </w:p>
        </w:tc>
        <w:tc>
          <w:tcPr>
            <w:tcW w:w="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1,966,237</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1,812,100</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(317,345)</w:t>
            </w:r>
          </w:p>
        </w:tc>
        <w:tc>
          <w:tcPr>
            <w:tcW w:w="80" w:type="dxa"/>
            <w:vAlign w:val="bottom"/>
          </w:tcPr>
          <w:p>
            <w:pPr>
              <w:spacing w:after="0"/>
              <w:rPr>
                <w:sz w:val="24"/>
                <w:szCs w:val="2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3,461,503</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5,449</w:t>
            </w: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3,466,952</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0"/>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75</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25,469</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25,803</w:t>
            </w:r>
          </w:p>
        </w:tc>
        <w:tc>
          <w:tcPr>
            <w:tcW w:w="0" w:type="dxa"/>
            <w:vAlign w:val="bottom"/>
          </w:tcPr>
          <w:p>
            <w:pPr>
              <w:spacing w:after="0"/>
              <w:rPr>
                <w:sz w:val="1"/>
                <w:szCs w:val="1"/>
                <w:color w:val="auto"/>
              </w:rPr>
            </w:pPr>
          </w:p>
        </w:tc>
      </w:tr>
      <w:tr>
        <w:trPr>
          <w:trHeight w:val="265"/>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comprehensive</w:t>
            </w:r>
          </w:p>
        </w:tc>
        <w:tc>
          <w:tcPr>
            <w:tcW w:w="10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income (loss), net of tax</w:t>
            </w:r>
          </w:p>
        </w:tc>
        <w:tc>
          <w:tcPr>
            <w:tcW w:w="100" w:type="dxa"/>
            <w:vAlign w:val="bottom"/>
          </w:tcPr>
          <w:p>
            <w:pPr>
              <w:spacing w:after="0"/>
              <w:rPr>
                <w:sz w:val="14"/>
                <w:szCs w:val="14"/>
                <w:color w:val="auto"/>
              </w:rPr>
            </w:pPr>
          </w:p>
        </w:tc>
        <w:tc>
          <w:tcPr>
            <w:tcW w:w="9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52,099</w:t>
            </w:r>
          </w:p>
        </w:tc>
        <w:tc>
          <w:tcPr>
            <w:tcW w:w="80" w:type="dxa"/>
            <w:vAlign w:val="bottom"/>
          </w:tcPr>
          <w:p>
            <w:pPr>
              <w:spacing w:after="0"/>
              <w:rPr>
                <w:sz w:val="14"/>
                <w:szCs w:val="14"/>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52,099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52,099</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42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color w:val="auto"/>
              </w:rPr>
              <w:t>Adjustment of redeemable</w:t>
            </w:r>
          </w:p>
        </w:tc>
        <w:tc>
          <w:tcPr>
            <w:tcW w:w="100" w:type="dxa"/>
            <w:vAlign w:val="bottom"/>
            <w:shd w:val="clear" w:color="auto" w:fill="CCEEFF"/>
          </w:tcPr>
          <w:p>
            <w:pPr>
              <w:spacing w:after="0"/>
              <w:rPr>
                <w:sz w:val="10"/>
                <w:szCs w:val="10"/>
                <w:color w:val="auto"/>
              </w:rPr>
            </w:pPr>
          </w:p>
        </w:tc>
        <w:tc>
          <w:tcPr>
            <w:tcW w:w="940" w:type="dxa"/>
            <w:vAlign w:val="bottom"/>
            <w:tcBorders>
              <w:right w:val="single" w:sz="8" w:color="auto"/>
            </w:tcBorders>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color w:val="auto"/>
              </w:rPr>
              <w:t>noncontrolling interests to</w:t>
            </w:r>
          </w:p>
        </w:tc>
        <w:tc>
          <w:tcPr>
            <w:tcW w:w="100" w:type="dxa"/>
            <w:vAlign w:val="bottom"/>
            <w:shd w:val="clear" w:color="auto" w:fill="CCEEFF"/>
          </w:tcPr>
          <w:p>
            <w:pPr>
              <w:spacing w:after="0"/>
              <w:rPr>
                <w:sz w:val="11"/>
                <w:szCs w:val="11"/>
                <w:color w:val="auto"/>
              </w:rPr>
            </w:pPr>
          </w:p>
        </w:tc>
        <w:tc>
          <w:tcPr>
            <w:tcW w:w="94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redemption value</w:t>
            </w:r>
          </w:p>
        </w:tc>
        <w:tc>
          <w:tcPr>
            <w:tcW w:w="100" w:type="dxa"/>
            <w:vAlign w:val="bottom"/>
            <w:shd w:val="clear" w:color="auto" w:fill="CCEEFF"/>
          </w:tcPr>
          <w:p>
            <w:pPr>
              <w:spacing w:after="0"/>
              <w:rPr>
                <w:sz w:val="15"/>
                <w:szCs w:val="15"/>
                <w:color w:val="auto"/>
              </w:rPr>
            </w:pP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1,320</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5"/>
                <w:szCs w:val="15"/>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(1,320)</w:t>
            </w:r>
          </w:p>
        </w:tc>
        <w:tc>
          <w:tcPr>
            <w:tcW w:w="0" w:type="dxa"/>
            <w:vAlign w:val="bottom"/>
          </w:tcPr>
          <w:p>
            <w:pPr>
              <w:spacing w:after="0"/>
              <w:rPr>
                <w:sz w:val="1"/>
                <w:szCs w:val="1"/>
                <w:color w:val="auto"/>
              </w:rPr>
            </w:pPr>
          </w:p>
        </w:tc>
      </w:tr>
      <w:tr>
        <w:trPr>
          <w:trHeight w:val="122"/>
        </w:trPr>
        <w:tc>
          <w:tcPr>
            <w:tcW w:w="142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Issuance of stock under</w:t>
            </w:r>
          </w:p>
        </w:tc>
        <w:tc>
          <w:tcPr>
            <w:tcW w:w="100" w:type="dxa"/>
            <w:vAlign w:val="bottom"/>
          </w:tcPr>
          <w:p>
            <w:pPr>
              <w:spacing w:after="0"/>
              <w:rPr>
                <w:sz w:val="10"/>
                <w:szCs w:val="10"/>
                <w:color w:val="auto"/>
              </w:rPr>
            </w:pPr>
          </w:p>
        </w:tc>
        <w:tc>
          <w:tcPr>
            <w:tcW w:w="94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420" w:type="dxa"/>
            <w:vAlign w:val="bottom"/>
          </w:tcPr>
          <w:p>
            <w:pPr>
              <w:ind w:left="20"/>
              <w:spacing w:after="0" w:line="131" w:lineRule="exact"/>
              <w:rPr>
                <w:sz w:val="20"/>
                <w:szCs w:val="20"/>
                <w:color w:val="auto"/>
              </w:rPr>
            </w:pPr>
            <w:r>
              <w:rPr>
                <w:rFonts w:ascii="Times New Roman" w:cs="Times New Roman" w:eastAsia="Times New Roman" w:hAnsi="Times New Roman"/>
                <w:sz w:val="13"/>
                <w:szCs w:val="13"/>
                <w:color w:val="auto"/>
              </w:rPr>
              <w:t>employee compensation</w:t>
            </w:r>
          </w:p>
        </w:tc>
        <w:tc>
          <w:tcPr>
            <w:tcW w:w="100" w:type="dxa"/>
            <w:vAlign w:val="bottom"/>
          </w:tcPr>
          <w:p>
            <w:pPr>
              <w:spacing w:after="0"/>
              <w:rPr>
                <w:sz w:val="11"/>
                <w:szCs w:val="11"/>
                <w:color w:val="auto"/>
              </w:rPr>
            </w:pPr>
          </w:p>
        </w:tc>
        <w:tc>
          <w:tcPr>
            <w:tcW w:w="940" w:type="dxa"/>
            <w:vAlign w:val="bottom"/>
            <w:tcBorders>
              <w:right w:val="single" w:sz="8" w:color="auto"/>
            </w:tcBorders>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72"/>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plans</w:t>
            </w:r>
          </w:p>
        </w:tc>
        <w:tc>
          <w:tcPr>
            <w:tcW w:w="100" w:type="dxa"/>
            <w:vAlign w:val="bottom"/>
          </w:tcPr>
          <w:p>
            <w:pPr>
              <w:spacing w:after="0"/>
              <w:rPr>
                <w:sz w:val="14"/>
                <w:szCs w:val="14"/>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42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Purchase of treasury</w:t>
            </w:r>
          </w:p>
        </w:tc>
        <w:tc>
          <w:tcPr>
            <w:tcW w:w="100" w:type="dxa"/>
            <w:vAlign w:val="bottom"/>
            <w:shd w:val="clear" w:color="auto" w:fill="CCEEFF"/>
          </w:tcPr>
          <w:p>
            <w:pPr>
              <w:spacing w:after="0"/>
              <w:rPr>
                <w:sz w:val="11"/>
                <w:szCs w:val="11"/>
                <w:color w:val="auto"/>
              </w:rPr>
            </w:pPr>
          </w:p>
        </w:tc>
        <w:tc>
          <w:tcPr>
            <w:tcW w:w="940" w:type="dxa"/>
            <w:vAlign w:val="bottom"/>
            <w:tcBorders>
              <w:right w:val="single" w:sz="8" w:color="auto"/>
            </w:tcBorders>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shares</w:t>
            </w:r>
          </w:p>
        </w:tc>
        <w:tc>
          <w:tcPr>
            <w:tcW w:w="100" w:type="dxa"/>
            <w:vAlign w:val="bottom"/>
            <w:shd w:val="clear" w:color="auto" w:fill="CCEEFF"/>
          </w:tcPr>
          <w:p>
            <w:pPr>
              <w:spacing w:after="0"/>
              <w:rPr>
                <w:sz w:val="16"/>
                <w:szCs w:val="16"/>
                <w:color w:val="auto"/>
              </w:rPr>
            </w:pPr>
          </w:p>
        </w:tc>
        <w:tc>
          <w:tcPr>
            <w:tcW w:w="940" w:type="dxa"/>
            <w:vAlign w:val="bottom"/>
            <w:tcBorders>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(353,132)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(353,132)</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(353,132)</w:t>
            </w:r>
          </w:p>
        </w:tc>
        <w:tc>
          <w:tcPr>
            <w:tcW w:w="0" w:type="dxa"/>
            <w:vAlign w:val="bottom"/>
          </w:tcPr>
          <w:p>
            <w:pPr>
              <w:spacing w:after="0"/>
              <w:rPr>
                <w:sz w:val="1"/>
                <w:szCs w:val="1"/>
                <w:color w:val="auto"/>
              </w:rPr>
            </w:pPr>
          </w:p>
        </w:tc>
      </w:tr>
      <w:tr>
        <w:trPr>
          <w:trHeight w:val="265"/>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 repurchase excise</w:t>
            </w:r>
          </w:p>
        </w:tc>
        <w:tc>
          <w:tcPr>
            <w:tcW w:w="100" w:type="dxa"/>
            <w:vAlign w:val="bottom"/>
          </w:tcPr>
          <w:p>
            <w:pPr>
              <w:spacing w:after="0"/>
              <w:rPr>
                <w:sz w:val="23"/>
                <w:szCs w:val="23"/>
                <w:color w:val="auto"/>
              </w:rPr>
            </w:pPr>
          </w:p>
        </w:tc>
        <w:tc>
          <w:tcPr>
            <w:tcW w:w="940" w:type="dxa"/>
            <w:vAlign w:val="bottom"/>
            <w:tcBorders>
              <w:right w:val="single" w:sz="8" w:color="auto"/>
            </w:tcBorders>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64"/>
        </w:trPr>
        <w:tc>
          <w:tcPr>
            <w:tcW w:w="14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tax</w:t>
            </w:r>
          </w:p>
        </w:tc>
        <w:tc>
          <w:tcPr>
            <w:tcW w:w="100" w:type="dxa"/>
            <w:vAlign w:val="bottom"/>
          </w:tcPr>
          <w:p>
            <w:pPr>
              <w:spacing w:after="0"/>
              <w:rPr>
                <w:sz w:val="14"/>
                <w:szCs w:val="14"/>
                <w:color w:val="auto"/>
              </w:rPr>
            </w:pPr>
          </w:p>
        </w:tc>
        <w:tc>
          <w:tcPr>
            <w:tcW w:w="940" w:type="dxa"/>
            <w:vAlign w:val="bottom"/>
            <w:tcBorders>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4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4"/>
                <w:szCs w:val="14"/>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(3,419)</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10"/>
        </w:trPr>
        <w:tc>
          <w:tcPr>
            <w:tcW w:w="1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9"/>
              </w:rPr>
              <w:t>Stock-based compensation</w:t>
            </w:r>
          </w:p>
        </w:tc>
        <w:tc>
          <w:tcPr>
            <w:tcW w:w="100" w:type="dxa"/>
            <w:vAlign w:val="bottom"/>
            <w:tcBorders>
              <w:bottom w:val="single" w:sz="8" w:color="CCEEFF"/>
            </w:tcBorders>
            <w:shd w:val="clear" w:color="auto" w:fill="CCEEFF"/>
          </w:tcPr>
          <w:p>
            <w:pPr>
              <w:spacing w:after="0"/>
              <w:rPr>
                <w:sz w:val="24"/>
                <w:szCs w:val="24"/>
                <w:color w:val="auto"/>
              </w:rPr>
            </w:pPr>
          </w:p>
        </w:tc>
        <w:tc>
          <w:tcPr>
            <w:tcW w:w="940" w:type="dxa"/>
            <w:vAlign w:val="bottom"/>
            <w:tcBorders>
              <w:bottom w:val="single" w:sz="8" w:color="CCEEFF"/>
              <w:right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6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13,135</w:t>
            </w:r>
          </w:p>
        </w:tc>
        <w:tc>
          <w:tcPr>
            <w:tcW w:w="8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13,135</w:t>
            </w:r>
          </w:p>
        </w:tc>
        <w:tc>
          <w:tcPr>
            <w:tcW w:w="0" w:type="dxa"/>
            <w:vAlign w:val="bottom"/>
          </w:tcPr>
          <w:p>
            <w:pPr>
              <w:spacing w:after="0"/>
              <w:rPr>
                <w:sz w:val="1"/>
                <w:szCs w:val="1"/>
                <w:color w:val="auto"/>
              </w:rPr>
            </w:pPr>
          </w:p>
        </w:tc>
      </w:tr>
      <w:tr>
        <w:trPr>
          <w:trHeight w:val="274"/>
        </w:trPr>
        <w:tc>
          <w:tcPr>
            <w:tcW w:w="14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top w:val="single" w:sz="8" w:color="auto"/>
              <w:right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41,663</w:t>
            </w: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51,201</w:t>
            </w:r>
          </w:p>
        </w:tc>
        <w:tc>
          <w:tcPr>
            <w:tcW w:w="80" w:type="dxa"/>
            <w:vAlign w:val="bottom"/>
          </w:tcPr>
          <w:p>
            <w:pPr>
              <w:spacing w:after="0"/>
              <w:rPr>
                <w:sz w:val="23"/>
                <w:szCs w:val="23"/>
                <w:color w:val="auto"/>
              </w:rPr>
            </w:pPr>
          </w:p>
        </w:tc>
        <w:tc>
          <w:tcPr>
            <w:tcW w:w="24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w:t>
            </w:r>
          </w:p>
        </w:tc>
        <w:tc>
          <w:tcPr>
            <w:tcW w:w="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512</w:t>
            </w:r>
          </w:p>
        </w:tc>
        <w:tc>
          <w:tcPr>
            <w:tcW w:w="80" w:type="dxa"/>
            <w:vAlign w:val="bottom"/>
          </w:tcPr>
          <w:p>
            <w:pPr>
              <w:spacing w:after="0"/>
              <w:rPr>
                <w:sz w:val="23"/>
                <w:szCs w:val="23"/>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1,978,052</w:t>
            </w:r>
          </w:p>
        </w:tc>
        <w:tc>
          <w:tcPr>
            <w:tcW w:w="8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1,837,569</w:t>
            </w:r>
          </w:p>
        </w:tc>
        <w:tc>
          <w:tcPr>
            <w:tcW w:w="8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(265,246)</w:t>
            </w:r>
          </w:p>
        </w:tc>
        <w:tc>
          <w:tcPr>
            <w:tcW w:w="80" w:type="dxa"/>
            <w:vAlign w:val="bottom"/>
          </w:tcPr>
          <w:p>
            <w:pPr>
              <w:spacing w:after="0"/>
              <w:rPr>
                <w:sz w:val="23"/>
                <w:szCs w:val="23"/>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2,086</w:t>
            </w:r>
          </w:p>
        </w:tc>
        <w:tc>
          <w:tcPr>
            <w:tcW w:w="8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(356,551)</w:t>
            </w:r>
          </w:p>
        </w:tc>
        <w:tc>
          <w:tcPr>
            <w:tcW w:w="8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3,194,336</w:t>
            </w:r>
          </w:p>
        </w:tc>
        <w:tc>
          <w:tcPr>
            <w:tcW w:w="8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5,783</w:t>
            </w:r>
          </w:p>
        </w:tc>
        <w:tc>
          <w:tcPr>
            <w:tcW w:w="8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3,200,119</w:t>
            </w:r>
          </w:p>
        </w:tc>
        <w:tc>
          <w:tcPr>
            <w:tcW w:w="0" w:type="dxa"/>
            <w:vAlign w:val="bottom"/>
          </w:tcPr>
          <w:p>
            <w:pPr>
              <w:spacing w:after="0"/>
              <w:rPr>
                <w:sz w:val="1"/>
                <w:szCs w:val="1"/>
                <w:color w:val="auto"/>
              </w:rPr>
            </w:pPr>
          </w:p>
        </w:tc>
      </w:tr>
      <w:tr>
        <w:trPr>
          <w:trHeight w:val="30"/>
        </w:trPr>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Borders>
              <w:righ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887" w:right="51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unaudited and have been prepared by Charles River Laboratories International, Inc. (the Company) in accordance with accounting principles generally accepted in the United States (U.S. GAAP) and pursuant to the rules and regulations of the Securities and Exchange Commission (SEC). The year-end condensed consolidated balance sheet data was derived from the Company’s audited consolidated financial statements, but does not include all disclosures required by U.S. GAAP. These unaudited condensed consolidated financial statements should be read in conjunction with the Company’s Annual Report on Form 10-K for fiscal year 2025 as filed with the SEC on February 18, 2026. The unaudited condensed consolidated financial statements, in the opinion of management, reflect all normal and recurring adjustments necessary for a fair statement of the Company’s financial position and results of operations.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accordance with U.S. GAAP requires that the Company make estimates and judgments that may affect the reported amounts of assets, liabilities, revenues, expenses and related disclosure of contingent assets and liabilities. On an on-going basis, the Company evaluates its estimates, judgments, and methodologies. The Company bases its estimates on historical experience and on various other assumptions that are believed to be reasonable, the results of which form the basis for making judgments about the carrying values of assets and liabilities. Actual results may differ from these estimates under different assumptions or conditions. Changes in estimates are reflected in reported results in the period in which they become known.</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Adopted Accounting Pronouncements</w:t>
      </w:r>
    </w:p>
    <w:p>
      <w:pPr>
        <w:spacing w:after="0" w:line="121"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In July 2025, the FASB issued ASU 2025-05, “Financial Instruments – Credit Losses (Topic 326) Measurement of Credit Losses for Accounts Receivables and Contract Assets.” ASU 2025-05 provides a practical expedient to assume that the current conditions as of the balance sheet date do not change for the remaining life of the asset if the expected credit losses were estimated under the reasonable and supportable approach. The ASU was effective for fiscal years beginning after December 15, 2025, and interim periods within those annual reporting periods. Early adoption was permitted, and if practical expedient is elected, the amendments in this update should be applied on a prospective basis. The Company’s adoption of this standard on a prospective basis in the three months ended March 28, 2026 did not have a significant impact on the unaudited condensed consolidated financial statements and the related disclosures.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Newly Issued Accounting Pronouncements</w:t>
      </w:r>
    </w:p>
    <w:p>
      <w:pPr>
        <w:spacing w:after="0" w:line="121"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In September 2025, the FASB issued ASU 2025-06, “Intangibles - Goodwill and Other - Internal-Use Software (Subtopic 350 - 40) - Targeted Improvements to the Accounting for Internal-Use Software.” ASU 2025-06 improves the operability of the guidance by removing all references to software development project stages so that the guidance is neutral to different software development methods, including the methods that entities may use to develop software in the future. The ASU is effective for fiscal years beginning after December 15, 2027, and interim reporting periods within those annual reporting periods. Early adoption is permitted, and the amendments in this ASU may be adopted using either a prospective transition approach, a modified transition approach or a retrospective transition approach. The Company is currently evaluating the impact this new standard will have on the condensed consolidated financial statements and the related disclosures.</w:t>
      </w:r>
    </w:p>
    <w:p>
      <w:pPr>
        <w:spacing w:after="0" w:line="8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November 2024, the FASB issued ASU 2024-03, “Disaggregation of Income Statement Expenses (Subtopic 220-40)” which requires enhanced disclosure of income statement expense categories to improve transparency and provide financial statement users with more detailed information about the nature, amount and timing of expenses impacting financial performance. This new guidance is effective for the Company for annual periods beginning after December 15, 2026 and interim periods beginning after December 15, 2027, with early adoption permitted. The amendments in this ASU may be adopted using the prospective or retrospective methods. The Company is currently evaluating the method of adoption and the impact this new standard will have on the related disclosures in the condensed consolidated financial statements.</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of Significant Accounting Policies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Company’s significant accounting policies are described in Note 1, “Description of Business and Summary of Significant Accounting Policies” in the Company’s Annual Report on Form 10-K for fiscal year 2025 as filed with the SEC on February 18, 2026.</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Company’s unaudited condensed consolidated financial statements reflect its financial statements and those of its subsidiaries in which the Company holds a controlling financial interest. For consolidated entities in which the Company owns or is exposed to less than 100% of the economics, the Company records net income attributable to noncontrolling interests in its unaudited condensed consolidated statements of income equal to the percentage of the economic or ownership interest retained</w:t>
      </w: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in such entities by the respective noncontrolling parties. Redeemable noncontrolling interests, where the noncontrolling interest holders have the ability to require the Company to purchase the remaining interests, are classified in the mezzanine section of the unaudited condensed consolidated balance sheets, which is presented above the equity section and below liabilities. Intercompany balances and transactions are eliminated in consolidation.</w:t>
      </w:r>
    </w:p>
    <w:p>
      <w:pPr>
        <w:spacing w:after="0" w:line="68"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 Company’s fiscal year is typically based on 52-weeks, with each quarter composed of 13 weeks ending on the last Saturday on, or closest to, March 31, June 30, September 30, and December 31. A 53rd week in the fourth quarter of the fiscal year is occasionally necessary to align with a December 31 calendar year-end.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The Company reports its results in three reportable segments: Research Models and Services (RMS), Discovery and Safety Assessment (DSA), and Manufacturing Solutions (Manufacturing).</w:t>
      </w:r>
    </w:p>
    <w:p>
      <w:pPr>
        <w:spacing w:after="0" w:line="5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Company’s RMS reportable segment includes products and services offered within Research Models, Research Model Services, and Cell Solutions. Research Models includes the commercial production and sale of small research models, as well as the supply of large research models. Research Model Services includes: Insourcing Solutions (IS), which provides colony management of clients’ research operations (including recruitment, training, staffing, and management services) within the clients’ facilities and utilizing the Charles River Accelerator and Development Lab (CRADL™) offerings, which provide vivarium space to clients, Genetically Engineered Models and Services (GEMS), which performs contract breeding and other services associated with genetically engineered models; and Research Animal Diagnostic Services (RADS), which provides health monitoring and diagnostics services related to research models, and Cell Solutions which supplies controlled, consistent, customized primary cells and blood components derived from normal and mobilized peripheral blood and bone marrow as well as cells from disease state donors.</w:t>
      </w:r>
    </w:p>
    <w:p>
      <w:pPr>
        <w:spacing w:after="0" w:line="8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The Company’s DSA reportable segment includes discovery and safety assessment services. The Company provides regulated and non-regulated DSA services to support the discovery, development, and regulatory-required safety testing of potential new drugs,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(non-animal)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research models) studies, laboratory support services, including bioanalytical and strategic non-clinical consulting and program management to support product development.</w:t>
      </w:r>
    </w:p>
    <w:p>
      <w:pPr>
        <w:spacing w:after="0" w:line="70" w:lineRule="exact"/>
        <w:rPr>
          <w:sz w:val="20"/>
          <w:szCs w:val="20"/>
          <w:color w:val="auto"/>
        </w:rPr>
      </w:pPr>
    </w:p>
    <w:p>
      <w:pPr>
        <w:ind w:right="180"/>
        <w:spacing w:after="0" w:line="267" w:lineRule="auto"/>
        <w:rPr>
          <w:sz w:val="20"/>
          <w:szCs w:val="20"/>
          <w:color w:val="auto"/>
        </w:rPr>
      </w:pPr>
      <w:r>
        <w:rPr>
          <w:rFonts w:ascii="Times New Roman" w:cs="Times New Roman" w:eastAsia="Times New Roman" w:hAnsi="Times New Roman"/>
          <w:sz w:val="18"/>
          <w:szCs w:val="18"/>
          <w:color w:val="auto"/>
        </w:rPr>
        <w:t xml:space="preserve">The Company’s Manufacturing reportable segment includes Microbial Solutions, which provides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lot-release testing products, microbial detection products, and species identification services and Biologics Solutions (Biologics), which performs specialized testing of biologics (Biologics Testing Solutions) as well as contract development and manufacturing products and services (CDMO).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ACQUISITIONS AND DIVESTITURES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2026 Acquisitions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PathoQuest SAS</w:t>
      </w:r>
    </w:p>
    <w:p>
      <w:pPr>
        <w:spacing w:after="0" w:line="121"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On April 17, 2026, the Company completed the acquisition of an additional 79% equity interest in PathoQuest SAS (PathoQuest), a provider of next-generation sequencing solutions for manufacturing quality-control testing for biopharmaceutical companies, resulting in a 100% controlling interest. The preliminary purchase price for PathoQuest was €51.6 million (or approximately $60.0 million based on current exchange rates), subject to customary closing adjustments. The acquisition was funded through a combination of available cash and proceeds from the Credit Facility. This business will be reported as part of the Company’s Manufacturing reportable segment. Due to the limited time between the acquisition date and the filing of this Quarterly Report on Form 10-Q, it is not practicable for the Company to disclose the preliminary allocation of the purchase price to assets acquired and liabilities assumed. The Company incurred transaction and integration costs in connection with the acquisition of $0.6 million for the three months ended March 28, 2026, which was included in Selling, general and administrative expenses within the unaudited condensed consolidated statements of income (loss).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K.F. Cambodia</w:t>
      </w:r>
    </w:p>
    <w:p>
      <w:pPr>
        <w:spacing w:after="0" w:line="12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14, 2026, the Company completed the acquisition of certain assets of K.F. Cambodia Ltd (Cambodian NHP Supplier), a leading supplier of non-human primates (NHPs) located in Cambodia. The preliminary purchase price for the Cambodian NHP Supplier was $507.3 million, consisting of $335.0 million paid at closing and $172.3 million representing the acquisition date fair value of deferred consideration, which is payable upon the satisfaction of certain post-close conditions. As of March 28, 2026 $105.0 million of deferred consideration remains to be paid which is recorded in Accrued liabilities on the unaudited condensed consolidated balance sheets. The acquisition was funded through a combination of available cash and proceeds from the Company’s Credit Facility. This business is reported as part of the Company’s DSA reportable segment for NHPs vertically integrated into the DSA supply chain and the RMS reportable segment for those NHPs sold to third party customers. The Company incurred transaction and integration costs in connection with the acquisition of $6.5 million for the three months ended March 28, 2026, which was included in Selling, general and administrative expenses within the unaudited condensed consolidated statements of income (loss). Pro forma financial information as well as the disclosure of actual revenue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and operating income (loss) have not been included because the Cambodian NHP Supplier’s financial results are not significant when compared to the Company’s consolidated financial results.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price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preliminary purchase price allocation was as follows:</w:t>
      </w:r>
    </w:p>
    <w:p>
      <w:pPr>
        <w:spacing w:after="0" w:line="13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8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8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Cambodian NHP</w:t>
            </w:r>
          </w:p>
        </w:tc>
      </w:tr>
      <w:tr>
        <w:trPr>
          <w:trHeight w:val="203"/>
        </w:trPr>
        <w:tc>
          <w:tcPr>
            <w:tcW w:w="826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center"/>
              <w:ind w:right="102"/>
              <w:spacing w:after="0" w:line="202" w:lineRule="exact"/>
              <w:rPr>
                <w:sz w:val="20"/>
                <w:szCs w:val="20"/>
                <w:color w:val="auto"/>
              </w:rPr>
            </w:pPr>
            <w:r>
              <w:rPr>
                <w:rFonts w:ascii="Times New Roman" w:cs="Times New Roman" w:eastAsia="Times New Roman" w:hAnsi="Times New Roman"/>
                <w:sz w:val="14"/>
                <w:szCs w:val="14"/>
                <w:b w:val="1"/>
                <w:bCs w:val="1"/>
                <w:color w:val="auto"/>
                <w:w w:val="97"/>
              </w:rPr>
              <w:t>Supplier</w:t>
            </w:r>
            <w:r>
              <w:rPr>
                <w:rFonts w:ascii="Times New Roman" w:cs="Times New Roman" w:eastAsia="Times New Roman" w:hAnsi="Times New Roman"/>
                <w:sz w:val="18"/>
                <w:szCs w:val="18"/>
                <w:b w:val="1"/>
                <w:bCs w:val="1"/>
                <w:color w:val="auto"/>
                <w:w w:val="97"/>
                <w:vertAlign w:val="superscript"/>
              </w:rPr>
              <w:t>(1)</w:t>
            </w:r>
          </w:p>
        </w:tc>
      </w:tr>
      <w:tr>
        <w:trPr>
          <w:trHeight w:val="190"/>
        </w:trPr>
        <w:tc>
          <w:tcPr>
            <w:tcW w:w="8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January 14, 2026</w:t>
            </w:r>
          </w:p>
        </w:tc>
      </w:tr>
      <w:tr>
        <w:trPr>
          <w:trHeight w:val="196"/>
        </w:trPr>
        <w:tc>
          <w:tcPr>
            <w:tcW w:w="8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jc w:val="center"/>
              <w:ind w:right="10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2"/>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Inventories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108,106</w:t>
            </w:r>
          </w:p>
        </w:tc>
      </w:tr>
      <w:tr>
        <w:trPr>
          <w:trHeight w:val="213"/>
        </w:trPr>
        <w:tc>
          <w:tcPr>
            <w:tcW w:w="8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9,858</w:t>
            </w:r>
          </w:p>
        </w:tc>
      </w:tr>
      <w:tr>
        <w:trPr>
          <w:trHeight w:val="219"/>
        </w:trPr>
        <w:tc>
          <w:tcPr>
            <w:tcW w:w="8260" w:type="dxa"/>
            <w:vAlign w:val="bottom"/>
            <w:shd w:val="clear" w:color="auto" w:fill="CCEEFF"/>
          </w:tcPr>
          <w:p>
            <w:pPr>
              <w:ind w:left="20"/>
              <w:spacing w:after="0" w:line="219" w:lineRule="exact"/>
              <w:rPr>
                <w:sz w:val="20"/>
                <w:szCs w:val="20"/>
                <w:color w:val="auto"/>
              </w:rPr>
            </w:pPr>
            <w:r>
              <w:rPr>
                <w:rFonts w:ascii="Times New Roman" w:cs="Times New Roman" w:eastAsia="Times New Roman" w:hAnsi="Times New Roman"/>
                <w:sz w:val="16"/>
                <w:szCs w:val="16"/>
                <w:color w:val="auto"/>
              </w:rPr>
              <w:t xml:space="preserve">Goodwill </w:t>
            </w:r>
            <w:r>
              <w:rPr>
                <w:rFonts w:ascii="Times New Roman" w:cs="Times New Roman" w:eastAsia="Times New Roman" w:hAnsi="Times New Roman"/>
                <w:sz w:val="21"/>
                <w:szCs w:val="21"/>
                <w:color w:val="auto"/>
                <w:vertAlign w:val="superscript"/>
              </w:rPr>
              <w:t>(2)</w:t>
            </w:r>
          </w:p>
        </w:tc>
        <w:tc>
          <w:tcPr>
            <w:tcW w:w="1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340,985</w:t>
            </w:r>
          </w:p>
        </w:tc>
      </w:tr>
      <w:tr>
        <w:trPr>
          <w:trHeight w:val="216"/>
        </w:trPr>
        <w:tc>
          <w:tcPr>
            <w:tcW w:w="8260" w:type="dxa"/>
            <w:vAlign w:val="bottom"/>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long-term assets </w:t>
            </w:r>
            <w:r>
              <w:rPr>
                <w:rFonts w:ascii="Times New Roman" w:cs="Times New Roman" w:eastAsia="Times New Roman" w:hAnsi="Times New Roman"/>
                <w:sz w:val="21"/>
                <w:szCs w:val="21"/>
                <w:color w:val="auto"/>
                <w:vertAlign w:val="superscript"/>
              </w:rPr>
              <w:t>(3)</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283,048</w:t>
            </w:r>
          </w:p>
        </w:tc>
      </w:tr>
      <w:tr>
        <w:trPr>
          <w:trHeight w:val="216"/>
        </w:trPr>
        <w:tc>
          <w:tcPr>
            <w:tcW w:w="8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(2,414)</w:t>
            </w:r>
          </w:p>
        </w:tc>
      </w:tr>
      <w:tr>
        <w:trPr>
          <w:trHeight w:val="216"/>
        </w:trPr>
        <w:tc>
          <w:tcPr>
            <w:tcW w:w="8260" w:type="dxa"/>
            <w:vAlign w:val="bottom"/>
            <w:tcBorders>
              <w:bottom w:val="single" w:sz="8" w:color="CCEEFF"/>
            </w:tcBorders>
          </w:tcPr>
          <w:p>
            <w:pPr>
              <w:ind w:left="20"/>
              <w:spacing w:after="0" w:line="216" w:lineRule="exact"/>
              <w:rPr>
                <w:sz w:val="20"/>
                <w:szCs w:val="20"/>
                <w:color w:val="auto"/>
              </w:rPr>
            </w:pPr>
            <w:r>
              <w:rPr>
                <w:rFonts w:ascii="Times New Roman" w:cs="Times New Roman" w:eastAsia="Times New Roman" w:hAnsi="Times New Roman"/>
                <w:sz w:val="16"/>
                <w:szCs w:val="16"/>
                <w:color w:val="auto"/>
              </w:rPr>
              <w:t xml:space="preserve">Other long-term liabilities </w:t>
            </w:r>
            <w:r>
              <w:rPr>
                <w:rFonts w:ascii="Times New Roman" w:cs="Times New Roman" w:eastAsia="Times New Roman" w:hAnsi="Times New Roman"/>
                <w:sz w:val="21"/>
                <w:szCs w:val="21"/>
                <w:color w:val="auto"/>
                <w:vertAlign w:val="superscript"/>
              </w:rPr>
              <w:t>(4)</w:t>
            </w:r>
          </w:p>
        </w:tc>
        <w:tc>
          <w:tcPr>
            <w:tcW w:w="1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(232,324)</w:t>
            </w:r>
          </w:p>
        </w:tc>
      </w:tr>
      <w:tr>
        <w:trPr>
          <w:trHeight w:val="234"/>
        </w:trPr>
        <w:tc>
          <w:tcPr>
            <w:tcW w:w="8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purchase price allocation</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507,259</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840" w:right="760" w:hanging="166"/>
        <w:spacing w:after="0" w:line="228" w:lineRule="auto"/>
        <w:tabs>
          <w:tab w:leader="none" w:pos="81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Purchase price allocation is preliminary and subject to change as additional information becomes available concerning the fair value and tax basis of the assets acquired and liabilities assumed, including certain obligations. Any additional adjustments to the purchase price allocation will be made as soon as practicable but no later than one year from the date of acquisition.</w:t>
      </w:r>
    </w:p>
    <w:p>
      <w:pPr>
        <w:spacing w:after="0" w:line="16" w:lineRule="exact"/>
        <w:rPr>
          <w:rFonts w:ascii="Times New Roman" w:cs="Times New Roman" w:eastAsia="Times New Roman" w:hAnsi="Times New Roman"/>
          <w:sz w:val="17"/>
          <w:szCs w:val="17"/>
          <w:color w:val="auto"/>
          <w:vertAlign w:val="superscript"/>
        </w:rPr>
      </w:pPr>
    </w:p>
    <w:p>
      <w:pPr>
        <w:ind w:left="840" w:right="820" w:hanging="166"/>
        <w:spacing w:after="0" w:line="234" w:lineRule="auto"/>
        <w:tabs>
          <w:tab w:leader="none" w:pos="810" w:val="left"/>
        </w:tabs>
        <w:numPr>
          <w:ilvl w:val="0"/>
          <w:numId w:val="3"/>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 goodwill resulting from this transaction is primarily attributable to synergies to be realized from acquiring an internal supplier servicing the DSA business and the assembled workforce. Goodwill of $108.7 million of the Cambodian NHP Supplier is deductible for tax purposes upon making the remaining deferred payments.</w:t>
      </w:r>
    </w:p>
    <w:p>
      <w:pPr>
        <w:spacing w:after="0" w:line="1" w:lineRule="exact"/>
        <w:rPr>
          <w:rFonts w:ascii="Times New Roman" w:cs="Times New Roman" w:eastAsia="Times New Roman" w:hAnsi="Times New Roman"/>
          <w:sz w:val="17"/>
          <w:szCs w:val="17"/>
          <w:color w:val="auto"/>
          <w:vertAlign w:val="superscript"/>
        </w:rPr>
      </w:pPr>
    </w:p>
    <w:p>
      <w:pPr>
        <w:ind w:left="800" w:hanging="126"/>
        <w:spacing w:after="0"/>
        <w:tabs>
          <w:tab w:leader="none" w:pos="80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long-term assets acquired include $283.0 million of biological assets, which will be amortized over an estimated eleven year useful life.</w:t>
      </w:r>
    </w:p>
    <w:p>
      <w:pPr>
        <w:spacing w:after="0" w:line="34" w:lineRule="exact"/>
        <w:rPr>
          <w:rFonts w:ascii="Times New Roman" w:cs="Times New Roman" w:eastAsia="Times New Roman" w:hAnsi="Times New Roman"/>
          <w:sz w:val="16"/>
          <w:szCs w:val="16"/>
          <w:color w:val="auto"/>
          <w:vertAlign w:val="superscript"/>
        </w:rPr>
      </w:pPr>
    </w:p>
    <w:p>
      <w:pPr>
        <w:ind w:left="800" w:hanging="126"/>
        <w:spacing w:after="0" w:line="224" w:lineRule="auto"/>
        <w:tabs>
          <w:tab w:leader="none" w:pos="800" w:val="left"/>
        </w:tabs>
        <w:numPr>
          <w:ilvl w:val="0"/>
          <w:numId w:val="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Other long-term liabilities include pre acquisition uncertain tax positions of the seller associated with the acquired assets.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routinely evaluates the strategic fit and fundamental performance of its global businesses, divesting operations that do not meet key business criteria. As part of this ongoing assessment, the Company determined that certain capital could be better deployed in other long-term growth opportunities.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Certain European Discovery Services Businesses</w:t>
      </w:r>
    </w:p>
    <w:p>
      <w:pPr>
        <w:spacing w:after="0" w:line="121"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February 25, 2026, the Company signed an agreement to sell certain European Discovery Services businesses (European Discovery Divestiture) to IQVIA Inc. (IQVIA) for $145.0 million in cash, subject to certain customary closing conditions, and future contingent payments up to $10.0 million based on future performance. The results of the European Discovery Services businesses were reported in the Company’s DSA reportable segment. During the three months ended March 28, 2026, the disposal group and the related assets and liabilities met the criteria for held-for-sale and were classified on the unaudited condensed consolidated balance sheets within Other assets and Other long-term liabilities, respectively. No changes were made to the prior period. The proposed transaction is expected to close in the second quarter of fiscal year 2026.</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Divestiture of CDMO and Cell Solutions</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On May 6, 2026, the Company completed the sale of its CDMO and Cell Solutions businesses (CDMO and Cell Solutions Divestiture) to GI Partners (GI) for future contingent performance-based payments up to $50.0 million, subject to certain customary closing adjustments. Additionally, the Company may be required to fund up to $45.0 million of future EBITDA losses and capital expenditures of the divested businesses over a four year period. The results of the CDMO and Cell Solutions businesses’ were reported in the Company’s Manufacturing reportable segment and RMS reportable segment, respectively.</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During the three months ended March 28, 2026, these businesses and the related assets and liabilities met the criteria for held-for-sale, resulting in a pre-tax loss of $118.0 million, which represents the excess of its carrying value over the fair value less cost to sell. As the loss taken cannot exceed the fair value of the long-lived assets, any excess of the carrying value over the fair value less cost to sell will be recorded upon disposal. The loss is recognized within Other (expense) income within the unaudited condensed consolidated statements of income (loss). The assets and liabilities are reported on the unaudited condensed consolidated balance sheets within Other assets and Other long-term liabilities, respectively. No changes were made to the prior period. The Company will complete its analysis related to the transaction, including determining the final loss on sale, which will be recognized in the second quarter of fiscal year 2026.</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carrying amounts of the major classes of assets and liabilities associated with the European Discovery Divestiture and CDMO and Cell Solutions Divestiture were as follows:</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00" w:type="dxa"/>
            <w:vAlign w:val="bottom"/>
            <w:gridSpan w:val="4"/>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March 28, 2026</w:t>
            </w:r>
          </w:p>
        </w:tc>
      </w:tr>
      <w:tr>
        <w:trPr>
          <w:trHeight w:val="37"/>
        </w:trPr>
        <w:tc>
          <w:tcPr>
            <w:tcW w:w="66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9"/>
        </w:trPr>
        <w:tc>
          <w:tcPr>
            <w:tcW w:w="6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European Discovery</w:t>
            </w:r>
          </w:p>
        </w:tc>
        <w:tc>
          <w:tcPr>
            <w:tcW w:w="120" w:type="dxa"/>
            <w:vAlign w:val="bottom"/>
          </w:tcPr>
          <w:p>
            <w:pPr>
              <w:spacing w:after="0"/>
              <w:rPr>
                <w:sz w:val="20"/>
                <w:szCs w:val="20"/>
                <w:color w:val="auto"/>
              </w:rPr>
            </w:pPr>
          </w:p>
        </w:tc>
        <w:tc>
          <w:tcPr>
            <w:tcW w:w="1440" w:type="dxa"/>
            <w:vAlign w:val="bottom"/>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CDMO and Cell</w:t>
            </w:r>
          </w:p>
        </w:tc>
      </w:tr>
      <w:tr>
        <w:trPr>
          <w:trHeight w:val="190"/>
        </w:trPr>
        <w:tc>
          <w:tcPr>
            <w:tcW w:w="6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Divestiture</w:t>
            </w:r>
          </w:p>
        </w:tc>
        <w:tc>
          <w:tcPr>
            <w:tcW w:w="120" w:type="dxa"/>
            <w:vAlign w:val="bottom"/>
          </w:tcPr>
          <w:p>
            <w:pPr>
              <w:spacing w:after="0"/>
              <w:rPr>
                <w:sz w:val="16"/>
                <w:szCs w:val="16"/>
                <w:color w:val="auto"/>
              </w:rPr>
            </w:pPr>
          </w:p>
        </w:tc>
        <w:tc>
          <w:tcPr>
            <w:tcW w:w="1440" w:type="dxa"/>
            <w:vAlign w:val="bottom"/>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Solutions Divestiture</w:t>
            </w:r>
          </w:p>
        </w:tc>
      </w:tr>
      <w:tr>
        <w:trPr>
          <w:trHeight w:val="118"/>
        </w:trPr>
        <w:tc>
          <w:tcPr>
            <w:tcW w:w="66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40" w:type="dxa"/>
            <w:vAlign w:val="bottom"/>
            <w:tcBorders>
              <w:bottom w:val="single" w:sz="8" w:color="auto"/>
            </w:tcBorders>
          </w:tcPr>
          <w:p>
            <w:pPr>
              <w:spacing w:after="0"/>
              <w:rPr>
                <w:sz w:val="10"/>
                <w:szCs w:val="10"/>
                <w:color w:val="auto"/>
              </w:rPr>
            </w:pPr>
          </w:p>
        </w:tc>
      </w:tr>
      <w:tr>
        <w:trPr>
          <w:trHeight w:val="196"/>
        </w:trPr>
        <w:tc>
          <w:tcPr>
            <w:tcW w:w="6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4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spacing w:after="0"/>
              <w:rPr>
                <w:sz w:val="21"/>
                <w:szCs w:val="21"/>
                <w:color w:val="auto"/>
              </w:rPr>
            </w:pP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assets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61,611</w:t>
            </w: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49,034</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assets, net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20,252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Goodwill</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Intangible assets, net</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52,849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4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assets</w:t>
            </w: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1,800</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12,626</w:t>
            </w:r>
          </w:p>
        </w:tc>
      </w:tr>
      <w:tr>
        <w:trPr>
          <w:trHeight w:val="213"/>
        </w:trPr>
        <w:tc>
          <w:tcPr>
            <w:tcW w:w="6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Assets held for sale (Other assets)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214,025</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74,237</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23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5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liabilities</w:t>
            </w: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36,477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31,048</w:t>
            </w: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lease right-of-use liabilities</w:t>
            </w: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18,325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23,594</w:t>
            </w:r>
          </w:p>
        </w:tc>
      </w:tr>
      <w:tr>
        <w:trPr>
          <w:trHeight w:val="24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liabilities</w:t>
            </w: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32,002</w:t>
            </w:r>
          </w:p>
        </w:tc>
        <w:tc>
          <w:tcPr>
            <w:tcW w:w="10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2,760</w:t>
            </w:r>
          </w:p>
        </w:tc>
      </w:tr>
      <w:tr>
        <w:trPr>
          <w:trHeight w:val="212"/>
        </w:trPr>
        <w:tc>
          <w:tcPr>
            <w:tcW w:w="66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Liabilities held for sale (Other long-term liabilities)</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86,804</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57,402</w:t>
            </w:r>
          </w:p>
        </w:tc>
      </w:tr>
      <w:tr>
        <w:trPr>
          <w:trHeight w:val="21"/>
        </w:trPr>
        <w:tc>
          <w:tcPr>
            <w:tcW w:w="66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REVENUE FROM CONTRACTS WITH CUSTOMERS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by reportable segment and timing of transfer of products or services: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020" w:type="dxa"/>
            <w:vAlign w:val="bottom"/>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190"/>
        </w:trPr>
        <w:tc>
          <w:tcPr>
            <w:tcW w:w="7020" w:type="dxa"/>
            <w:vAlign w:val="bottom"/>
          </w:tcPr>
          <w:p>
            <w:pPr>
              <w:spacing w:after="0"/>
              <w:rPr>
                <w:sz w:val="16"/>
                <w:szCs w:val="16"/>
                <w:color w:val="auto"/>
              </w:rPr>
            </w:pPr>
          </w:p>
        </w:tc>
        <w:tc>
          <w:tcPr>
            <w:tcW w:w="170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720" w:type="dxa"/>
            <w:vAlign w:val="bottom"/>
            <w:tcBorders>
              <w:bottom w:val="single" w:sz="8" w:color="auto"/>
            </w:tcBorders>
          </w:tcPr>
          <w:p>
            <w:pPr>
              <w:ind w:left="40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192"/>
        </w:trPr>
        <w:tc>
          <w:tcPr>
            <w:tcW w:w="7020" w:type="dxa"/>
            <w:vAlign w:val="bottom"/>
          </w:tcPr>
          <w:p>
            <w:pPr>
              <w:spacing w:after="0"/>
              <w:rPr>
                <w:sz w:val="16"/>
                <w:szCs w:val="16"/>
                <w:color w:val="auto"/>
              </w:rPr>
            </w:pPr>
          </w:p>
        </w:tc>
        <w:tc>
          <w:tcPr>
            <w:tcW w:w="3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720" w:type="dxa"/>
            <w:vAlign w:val="bottom"/>
          </w:tcPr>
          <w:p>
            <w:pPr>
              <w:spacing w:after="0"/>
              <w:rPr>
                <w:sz w:val="3"/>
                <w:szCs w:val="3"/>
                <w:color w:val="auto"/>
              </w:rPr>
            </w:pPr>
          </w:p>
        </w:tc>
      </w:tr>
      <w:tr>
        <w:trPr>
          <w:trHeight w:val="209"/>
        </w:trPr>
        <w:tc>
          <w:tcPr>
            <w:tcW w:w="8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Timing of Revenue Recognition:</w:t>
            </w:r>
          </w:p>
        </w:tc>
        <w:tc>
          <w:tcPr>
            <w:tcW w:w="1720" w:type="dxa"/>
            <w:vAlign w:val="bottom"/>
            <w:tcBorders>
              <w:bottom w:val="single" w:sz="8" w:color="CCEEFF"/>
            </w:tcBorders>
            <w:shd w:val="clear" w:color="auto" w:fill="CCEEFF"/>
          </w:tcPr>
          <w:p>
            <w:pPr>
              <w:spacing w:after="0"/>
              <w:rPr>
                <w:sz w:val="18"/>
                <w:szCs w:val="18"/>
                <w:color w:val="auto"/>
              </w:rPr>
            </w:pPr>
          </w:p>
        </w:tc>
      </w:tr>
      <w:tr>
        <w:trPr>
          <w:trHeight w:val="193"/>
        </w:trPr>
        <w:tc>
          <w:tcPr>
            <w:tcW w:w="87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RMS</w:t>
            </w:r>
          </w:p>
        </w:tc>
        <w:tc>
          <w:tcPr>
            <w:tcW w:w="1720" w:type="dxa"/>
            <w:vAlign w:val="bottom"/>
          </w:tcPr>
          <w:p>
            <w:pPr>
              <w:spacing w:after="0"/>
              <w:rPr>
                <w:sz w:val="16"/>
                <w:szCs w:val="16"/>
                <w:color w:val="auto"/>
              </w:rPr>
            </w:pPr>
          </w:p>
        </w:tc>
      </w:tr>
    </w:tbl>
    <w:p>
      <w:pPr>
        <w:spacing w:after="0" w:line="37" w:lineRule="exact"/>
        <w:rPr>
          <w:sz w:val="20"/>
          <w:szCs w:val="20"/>
          <w:color w:val="auto"/>
        </w:rPr>
      </w:pPr>
    </w:p>
    <w:tbl>
      <w:tblPr>
        <w:tblLayout w:type="fixed"/>
        <w:tblInd w:w="660" w:type="dxa"/>
        <w:tblCellMar>
          <w:top w:w="0" w:type="dxa"/>
          <w:left w:w="0" w:type="dxa"/>
          <w:bottom w:w="0" w:type="dxa"/>
          <w:right w:w="0" w:type="dxa"/>
        </w:tblCellMar>
      </w:tblPr>
      <w:tr>
        <w:trPr>
          <w:trHeight w:val="24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94,203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97,004</w:t>
            </w:r>
          </w:p>
        </w:tc>
      </w:tr>
      <w:tr>
        <w:trPr>
          <w:trHeight w:val="24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114,164</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116,069</w:t>
            </w:r>
          </w:p>
        </w:tc>
      </w:tr>
      <w:tr>
        <w:trPr>
          <w:trHeight w:val="226"/>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RMS revenue</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208,367</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213,073</w:t>
            </w:r>
          </w:p>
        </w:tc>
      </w:tr>
      <w:tr>
        <w:trPr>
          <w:trHeight w:val="173"/>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DSA</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7"/>
        </w:trPr>
        <w:tc>
          <w:tcPr>
            <w:tcW w:w="7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596,233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591,520</w:t>
            </w:r>
          </w:p>
        </w:tc>
      </w:tr>
      <w:tr>
        <w:trPr>
          <w:trHeight w:val="24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690</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1,089</w:t>
            </w:r>
          </w:p>
        </w:tc>
      </w:tr>
      <w:tr>
        <w:trPr>
          <w:trHeight w:val="226"/>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DSA revenue</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596,923</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592,609</w:t>
            </w:r>
          </w:p>
        </w:tc>
      </w:tr>
      <w:tr>
        <w:trPr>
          <w:trHeight w:val="173"/>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37"/>
        </w:trPr>
        <w:tc>
          <w:tcPr>
            <w:tcW w:w="70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over time</w:t>
            </w: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90,893</w:t>
            </w:r>
          </w:p>
        </w:tc>
        <w:tc>
          <w:tcPr>
            <w:tcW w:w="10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91,467</w:t>
            </w:r>
          </w:p>
        </w:tc>
      </w:tr>
      <w:tr>
        <w:trPr>
          <w:trHeight w:val="240"/>
        </w:trPr>
        <w:tc>
          <w:tcPr>
            <w:tcW w:w="70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Services and products transferred at a point in time</w:t>
            </w: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99,647</w:t>
            </w:r>
          </w:p>
        </w:tc>
        <w:tc>
          <w:tcPr>
            <w:tcW w:w="100" w:type="dxa"/>
            <w:vAlign w:val="bottom"/>
            <w:tcBorders>
              <w:bottom w:val="single" w:sz="8" w:color="CCEEFF"/>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87,019</w:t>
            </w:r>
          </w:p>
        </w:tc>
      </w:tr>
      <w:tr>
        <w:trPr>
          <w:trHeight w:val="223"/>
        </w:trPr>
        <w:tc>
          <w:tcPr>
            <w:tcW w:w="7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Manufacturing revenue</w:t>
            </w: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190,540</w:t>
            </w:r>
          </w:p>
        </w:tc>
        <w:tc>
          <w:tcPr>
            <w:tcW w:w="100" w:type="dxa"/>
            <w:vAlign w:val="bottom"/>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178,486</w:t>
            </w:r>
          </w:p>
        </w:tc>
      </w:tr>
      <w:tr>
        <w:trPr>
          <w:trHeight w:val="213"/>
        </w:trPr>
        <w:tc>
          <w:tcPr>
            <w:tcW w:w="702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Total revenue</w:t>
            </w: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995,830</w:t>
            </w:r>
          </w:p>
        </w:tc>
        <w:tc>
          <w:tcPr>
            <w:tcW w:w="100" w:type="dxa"/>
            <w:vAlign w:val="bottom"/>
          </w:tcPr>
          <w:p>
            <w:pPr>
              <w:spacing w:after="0"/>
              <w:rPr>
                <w:sz w:val="18"/>
                <w:szCs w:val="18"/>
                <w:color w:val="auto"/>
              </w:rPr>
            </w:pPr>
          </w:p>
        </w:tc>
        <w:tc>
          <w:tcPr>
            <w:tcW w:w="58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984,168</w:t>
            </w:r>
          </w:p>
        </w:tc>
      </w:tr>
      <w:tr>
        <w:trPr>
          <w:trHeight w:val="20"/>
        </w:trPr>
        <w:tc>
          <w:tcPr>
            <w:tcW w:w="70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3" w:name="page14"/>
    <w:bookmarkEnd w:id="1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 Balances from Contracts with Customers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about client receivables, contract assets, and contract liabilities from contracts with customers: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4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0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Assets from contracts with customers</w:t>
            </w: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Client receivables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512,743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518,728</w:t>
            </w:r>
          </w:p>
        </w:tc>
      </w:tr>
      <w:tr>
        <w:trPr>
          <w:trHeight w:val="24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Unbilled revenue</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195,622</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200,591</w:t>
            </w:r>
          </w:p>
        </w:tc>
      </w:tr>
      <w:tr>
        <w:trPr>
          <w:trHeight w:val="236"/>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708,365</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719,319</w:t>
            </w:r>
          </w:p>
        </w:tc>
      </w:tr>
      <w:tr>
        <w:trPr>
          <w:trHeight w:val="23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Allowance for credit losses</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(8,114)</w:t>
            </w:r>
          </w:p>
        </w:tc>
        <w:tc>
          <w:tcPr>
            <w:tcW w:w="100" w:type="dxa"/>
            <w:vAlign w:val="bottom"/>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(10,463)</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receivables and contract assets, net</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700,251</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708,856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23"/>
        </w:trPr>
        <w:tc>
          <w:tcPr>
            <w:tcW w:w="66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96"/>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Liabilities from contracts with customers</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4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deferred 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194,330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210,418</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revenue (included in Other long-term liabilities)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45,632</w:t>
            </w:r>
          </w:p>
        </w:tc>
      </w:tr>
      <w:tr>
        <w:trPr>
          <w:trHeight w:val="24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contract deposits (included in Other current liabilities)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104,746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106,599</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75% of unbilled revenue as of December 27, 2025, which was $201 million, was billed during the three months ended March 28, 2026.</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70% of unbilled revenue as of December 28, 2024, which was $212 million, was billed during the three months ended March 29, 2025.</w:t>
      </w:r>
    </w:p>
    <w:p>
      <w:pPr>
        <w:spacing w:after="0" w:line="9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Approximately 55% of contract liabilities as of December 27, 2025, which was $256 million, were recognized as revenue during the three months ended March 28, 2026. Approximately 60% of contract liabilities as of December 28, 2024, which was $283 million, were recognized as revenue during the three months ended March 29, 2025.</w:t>
      </w:r>
    </w:p>
    <w:p>
      <w:pPr>
        <w:spacing w:after="0" w:line="6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When the Company does not have the unconditional right to advanced billings, both advanced client payments and unpaid advanced client billings are excluded from deferred revenue, with the advanced billings also being excluded from client receivables. The Company excluded approximately $44 million and $43 million of unpaid advanced client billings from both client receivables and deferred revenue in the accompanying unaudited condensed consolidated balance sheets as of March 28, 2026 and December 27, 2025, respectively.</w:t>
      </w:r>
    </w:p>
    <w:p>
      <w:pPr>
        <w:sectPr>
          <w:pgSz w:w="11900" w:h="16838" w:orient="portrait"/>
          <w:cols w:equalWidth="0" w:num="1">
            <w:col w:w="11240"/>
          </w:cols>
          <w:pgMar w:left="320" w:top="117" w:right="339" w:bottom="1440" w:gutter="0" w:footer="0" w:header="0"/>
        </w:sectPr>
      </w:pP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activity of the Company’s allowance for credit losses: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557530</wp:posOffset>
            </wp:positionV>
            <wp:extent cx="6626225"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Beginning balance</w:t>
      </w:r>
    </w:p>
    <w:p>
      <w:pPr>
        <w:spacing w:after="0" w:line="5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29210</wp:posOffset>
            </wp:positionV>
            <wp:extent cx="6626225"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626225" cy="154305"/>
                    </a:xfrm>
                    <a:prstGeom prst="rect">
                      <a:avLst/>
                    </a:prstGeom>
                    <a:noFill/>
                  </pic:spPr>
                </pic:pic>
              </a:graphicData>
            </a:graphic>
          </wp:anchor>
        </w:drawing>
      </w:r>
    </w:p>
    <w:p>
      <w:pPr>
        <w:spacing w:after="0" w:line="53"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6"/>
          <w:szCs w:val="16"/>
          <w:color w:val="auto"/>
        </w:rPr>
        <w:t>Reductions</w:t>
      </w:r>
    </w:p>
    <w:p>
      <w:pPr>
        <w:spacing w:after="0" w:line="86"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Ending balance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41910</wp:posOffset>
            </wp:positionV>
            <wp:extent cx="216852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6852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22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4"/>
          </w:tcPr>
          <w:p>
            <w:pPr>
              <w:spacing w:after="0"/>
              <w:rPr>
                <w:sz w:val="3"/>
                <w:szCs w:val="3"/>
                <w:color w:val="auto"/>
              </w:rPr>
            </w:pPr>
          </w:p>
        </w:tc>
      </w:tr>
      <w:tr>
        <w:trPr>
          <w:trHeight w:val="186"/>
        </w:trPr>
        <w:tc>
          <w:tcPr>
            <w:tcW w:w="220" w:type="dxa"/>
            <w:vAlign w:val="bottom"/>
          </w:tcPr>
          <w:p>
            <w:pPr>
              <w:spacing w:after="0"/>
              <w:rPr>
                <w:sz w:val="16"/>
                <w:szCs w:val="16"/>
                <w:color w:val="auto"/>
              </w:rPr>
            </w:pPr>
          </w:p>
        </w:tc>
        <w:tc>
          <w:tcPr>
            <w:tcW w:w="3200" w:type="dxa"/>
            <w:vAlign w:val="bottom"/>
            <w:gridSpan w:val="4"/>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60"/>
        </w:trPr>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10,463</w:t>
            </w:r>
          </w:p>
        </w:tc>
        <w:tc>
          <w:tcPr>
            <w:tcW w:w="100" w:type="dxa"/>
            <w:vAlign w:val="bottom"/>
          </w:tcPr>
          <w:p>
            <w:pPr>
              <w:spacing w:after="0"/>
              <w:rPr>
                <w:sz w:val="22"/>
                <w:szCs w:val="22"/>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18,301</w:t>
            </w:r>
          </w:p>
        </w:tc>
      </w:tr>
      <w:tr>
        <w:trPr>
          <w:trHeight w:val="257"/>
        </w:trPr>
        <w:tc>
          <w:tcPr>
            <w:tcW w:w="220" w:type="dxa"/>
            <w:vAlign w:val="bottom"/>
          </w:tcPr>
          <w:p>
            <w:pPr>
              <w:spacing w:after="0"/>
              <w:rPr>
                <w:sz w:val="22"/>
                <w:szCs w:val="22"/>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2,007</w:t>
            </w:r>
          </w:p>
        </w:tc>
      </w:tr>
      <w:tr>
        <w:trPr>
          <w:trHeight w:val="243"/>
        </w:trPr>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(2,396)</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(4,050)</w:t>
            </w:r>
          </w:p>
        </w:tc>
      </w:tr>
      <w:tr>
        <w:trPr>
          <w:trHeight w:val="236"/>
        </w:trPr>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8,114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16,258</w:t>
            </w:r>
          </w:p>
        </w:tc>
      </w:tr>
      <w:tr>
        <w:trPr>
          <w:trHeight w:val="27"/>
        </w:trPr>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171" w:lineRule="exact"/>
        <w:rPr>
          <w:sz w:val="20"/>
          <w:szCs w:val="20"/>
          <w:color w:val="auto"/>
        </w:rPr>
      </w:pPr>
    </w:p>
    <w:p>
      <w:pPr>
        <w:sectPr>
          <w:pgSz w:w="11900" w:h="16838" w:orient="portrait"/>
          <w:cols w:equalWidth="0" w:num="2">
            <w:col w:w="6960" w:space="720"/>
            <w:col w:w="3560"/>
          </w:cols>
          <w:pgMar w:left="320" w:top="117" w:right="339" w:bottom="1440" w:gutter="0" w:footer="0" w:header="0"/>
          <w:type w:val="continuous"/>
        </w:sect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Net recoveries were $0.5 million during the three months ended March 28, 2026, while net provision expenses were $1.5 million during the three months ended March 29, 2025. These amounts include recoveries of balances previously written off, which are excluded from the table above.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Price Allocated to Future Performance Obligations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discloses the aggregate amount of transaction price that is allocated to performance obligations that have not yet been satisfied as of</w:t>
      </w:r>
    </w:p>
    <w:p>
      <w:pPr>
        <w:spacing w:after="0" w:line="27"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March 28, 2026. Excluded from the disclosure is the value of unsatisfied performance obligations for contracts with an original expected length of one year or less, contracts for which revenue is recognized at the amount to which the Company has the right to invoice for services performed, and service revenue recognized in accordance with ASC 842, “Leases”. The aggregate amount of transaction price allocated to the remaining performance obligations for all open customer contracts as of March 28, 2026 was $702.2 million. The Company will recognize revenues for these performance obligations as they are satisfied, approximately 50% of which is expected to occur within the next twelve months and the remainder recognized thereafter during the remaining contract term.</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Performance Obligation</w:t>
      </w:r>
      <w:r>
        <w:rPr>
          <w:rFonts w:ascii="Arial" w:cs="Arial" w:eastAsia="Arial" w:hAnsi="Arial"/>
          <w:sz w:val="18"/>
          <w:szCs w:val="18"/>
          <w:b w:val="1"/>
          <w:bCs w:val="1"/>
          <w:i w:val="1"/>
          <w:iCs w:val="1"/>
          <w:color w:val="auto"/>
        </w:rPr>
        <w:t>s</w:t>
      </w:r>
    </w:p>
    <w:p>
      <w:pPr>
        <w:spacing w:after="0" w:line="12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As part of the Company’s service offerings, the Company has identified performance obligations related to leasing Company owned assets. In certain arrangements, customers obtain substantially all of the economic benefits of the identified assets, which may include manufacturing suites and related equipment, and have the right to direct the assets’ use over the term of the contract. The associated revenue is recognized on a straight-line basis over the term of the lease, which is generally less than one year, and recorded within service revenue. The Company recognized $12.2 million and $11.6 million in lease revenue during the three months ended March 28, 2026 and March 29, 2025. Due to the nature of these arrangements and timing of the contractual lease term, the remaining revenue to be recognized related to these lease performance obligations is not material to the unaudited condensed consolidated financial statements.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SEGMENT AND GEOGRAPHIC INFORMATION</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operates in three reportable segments: RMS, DSA, and Manufacturing. The reportable segments comprise the structure used by the Company’s Chief Executive Officer, who is the Chief Operating Decision Maker (CODM), to make key operating decisions and assess performance. These segments are strategic business units with differing products and services.</w:t>
      </w:r>
    </w:p>
    <w:p>
      <w:pPr>
        <w:spacing w:after="0" w:line="68"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CODM evaluates the segments operating performance based on operating income. Operating income is the measure of profit or loss regularly provided to and used by the CODM to assess performance and allocate resources. Operating income is defined as revenue less costs of revenue; selling, general, and administrative expenses; and amortization of intangible assets. For each segment, the CODM uses operating income in the annual budgeting and quarterly forecasting process when comparing to actual results. Asset information on a reportable segment basis is not disclosed as this information is not separately identified and internally reported to the Company’s CODM. The following table presents the results of operations by reportable segment:</w:t>
      </w:r>
    </w:p>
    <w:p>
      <w:pPr>
        <w:spacing w:after="0" w:line="1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RMS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208,367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213,073</w:t>
            </w: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153,963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139,296</w:t>
            </w: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24,206</w:t>
            </w:r>
          </w:p>
        </w:tc>
      </w:tr>
      <w:tr>
        <w:trPr>
          <w:trHeight w:val="24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3,036</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5,966</w:t>
            </w: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49,773</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43,605</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193"/>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DSA</w:t>
            </w: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592,609</w:t>
            </w: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435,160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420,143</w:t>
            </w: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47,524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65,293</w:t>
            </w:r>
          </w:p>
        </w:tc>
      </w:tr>
      <w:tr>
        <w:trPr>
          <w:trHeight w:val="24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10,364</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13,221</w:t>
            </w:r>
          </w:p>
        </w:tc>
      </w:tr>
      <w:tr>
        <w:trPr>
          <w:trHeight w:val="238"/>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93,952</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Revenue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190,540</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178,486</w:t>
            </w: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revenue (excluding amortization of intangible assets)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112,043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106,997</w:t>
            </w: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34,032</w:t>
            </w:r>
          </w:p>
        </w:tc>
      </w:tr>
      <w:tr>
        <w:trPr>
          <w:trHeight w:val="24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46,077</w:t>
            </w: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income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46,839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(8,620)</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66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9"/>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Unallocated Corporate </w:t>
            </w:r>
            <w:r>
              <w:rPr>
                <w:rFonts w:ascii="Times New Roman" w:cs="Times New Roman" w:eastAsia="Times New Roman" w:hAnsi="Times New Roman"/>
                <w:sz w:val="18"/>
                <w:szCs w:val="18"/>
                <w:b w:val="1"/>
                <w:bCs w:val="1"/>
                <w:color w:val="auto"/>
                <w:vertAlign w:val="superscript"/>
              </w:rPr>
              <w:t>(1)</w:t>
            </w: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40"/>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80,590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54,268</w:t>
            </w:r>
          </w:p>
        </w:tc>
      </w:tr>
      <w:tr>
        <w:trPr>
          <w:trHeight w:val="213"/>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Operating loss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(80,590)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(54,268)</w:t>
            </w:r>
          </w:p>
        </w:tc>
      </w:tr>
      <w:tr>
        <w:trPr>
          <w:trHeight w:val="21"/>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12" w:lineRule="exact"/>
        <w:rPr>
          <w:sz w:val="20"/>
          <w:szCs w:val="20"/>
          <w:color w:val="auto"/>
        </w:rPr>
      </w:pPr>
    </w:p>
    <w:p>
      <w:pPr>
        <w:ind w:left="680" w:right="800" w:hanging="6"/>
        <w:spacing w:after="0" w:line="234" w:lineRule="auto"/>
        <w:tabs>
          <w:tab w:leader="none" w:pos="812" w:val="left"/>
        </w:tabs>
        <w:numPr>
          <w:ilvl w:val="0"/>
          <w:numId w:val="4"/>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Operating income for unallocated corporate consists of costs associated with departments such as senior executives, corporate accounting, legal, tax, human resources, treasury, and investor relations.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15" w:name="page16"/>
    <w:bookmarkEnd w:id="15"/>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76"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Revenue</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RMS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208,367</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213,073</w:t>
            </w:r>
          </w:p>
        </w:tc>
        <w:tc>
          <w:tcPr>
            <w:tcW w:w="0" w:type="dxa"/>
            <w:vAlign w:val="bottom"/>
          </w:tcPr>
          <w:p>
            <w:pPr>
              <w:spacing w:after="0"/>
              <w:rPr>
                <w:sz w:val="1"/>
                <w:szCs w:val="1"/>
                <w:color w:val="auto"/>
              </w:rPr>
            </w:pP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DSA</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596,923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592,609</w:t>
            </w:r>
          </w:p>
        </w:tc>
        <w:tc>
          <w:tcPr>
            <w:tcW w:w="0" w:type="dxa"/>
            <w:vAlign w:val="bottom"/>
          </w:tcPr>
          <w:p>
            <w:pPr>
              <w:spacing w:after="0"/>
              <w:rPr>
                <w:sz w:val="1"/>
                <w:szCs w:val="1"/>
                <w:color w:val="auto"/>
              </w:rPr>
            </w:pPr>
          </w:p>
        </w:tc>
      </w:tr>
      <w:tr>
        <w:trPr>
          <w:trHeight w:val="24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Manufacturing</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190,540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178,486</w:t>
            </w:r>
          </w:p>
        </w:tc>
        <w:tc>
          <w:tcPr>
            <w:tcW w:w="0" w:type="dxa"/>
            <w:vAlign w:val="bottom"/>
          </w:tcPr>
          <w:p>
            <w:pPr>
              <w:spacing w:after="0"/>
              <w:rPr>
                <w:sz w:val="1"/>
                <w:szCs w:val="1"/>
                <w:color w:val="auto"/>
              </w:rPr>
            </w:pPr>
          </w:p>
        </w:tc>
      </w:tr>
      <w:tr>
        <w:trPr>
          <w:trHeight w:val="237"/>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revenue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995,830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984,168</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Income (Loss)</w:t>
            </w: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0"/>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RMS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49,773</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43,605</w:t>
            </w:r>
          </w:p>
        </w:tc>
        <w:tc>
          <w:tcPr>
            <w:tcW w:w="0" w:type="dxa"/>
            <w:vAlign w:val="bottom"/>
          </w:tcPr>
          <w:p>
            <w:pPr>
              <w:spacing w:after="0"/>
              <w:rPr>
                <w:sz w:val="1"/>
                <w:szCs w:val="1"/>
                <w:color w:val="auto"/>
              </w:rPr>
            </w:pP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DSA</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103,875</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93,952</w:t>
            </w:r>
          </w:p>
        </w:tc>
        <w:tc>
          <w:tcPr>
            <w:tcW w:w="0" w:type="dxa"/>
            <w:vAlign w:val="bottom"/>
          </w:tcPr>
          <w:p>
            <w:pPr>
              <w:spacing w:after="0"/>
              <w:rPr>
                <w:sz w:val="1"/>
                <w:szCs w:val="1"/>
                <w:color w:val="auto"/>
              </w:rPr>
            </w:pPr>
          </w:p>
        </w:tc>
      </w:tr>
      <w:tr>
        <w:trPr>
          <w:trHeight w:val="24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Manufacturing</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46,839</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(8,620)</w:t>
            </w:r>
          </w:p>
        </w:tc>
        <w:tc>
          <w:tcPr>
            <w:tcW w:w="0" w:type="dxa"/>
            <w:vAlign w:val="bottom"/>
          </w:tcPr>
          <w:p>
            <w:pPr>
              <w:spacing w:after="0"/>
              <w:rPr>
                <w:sz w:val="1"/>
                <w:szCs w:val="1"/>
                <w:color w:val="auto"/>
              </w:rPr>
            </w:pPr>
          </w:p>
        </w:tc>
      </w:tr>
      <w:tr>
        <w:trPr>
          <w:trHeight w:val="22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Segment operating income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200,487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128,937</w:t>
            </w:r>
          </w:p>
        </w:tc>
        <w:tc>
          <w:tcPr>
            <w:tcW w:w="0" w:type="dxa"/>
            <w:vAlign w:val="bottom"/>
          </w:tcPr>
          <w:p>
            <w:pPr>
              <w:spacing w:after="0"/>
              <w:rPr>
                <w:sz w:val="1"/>
                <w:szCs w:val="1"/>
                <w:color w:val="auto"/>
              </w:rPr>
            </w:pPr>
          </w:p>
        </w:tc>
      </w:tr>
      <w:tr>
        <w:trPr>
          <w:trHeight w:val="240"/>
        </w:trPr>
        <w:tc>
          <w:tcPr>
            <w:tcW w:w="6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Unallocated Corporate</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(80,590)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(54,268)</w:t>
            </w:r>
          </w:p>
        </w:tc>
        <w:tc>
          <w:tcPr>
            <w:tcW w:w="0" w:type="dxa"/>
            <w:vAlign w:val="bottom"/>
          </w:tcPr>
          <w:p>
            <w:pPr>
              <w:spacing w:after="0"/>
              <w:rPr>
                <w:sz w:val="1"/>
                <w:szCs w:val="1"/>
                <w:color w:val="auto"/>
              </w:rPr>
            </w:pPr>
          </w:p>
        </w:tc>
      </w:tr>
      <w:tr>
        <w:trPr>
          <w:trHeight w:val="238"/>
        </w:trPr>
        <w:tc>
          <w:tcPr>
            <w:tcW w:w="6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income</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119,897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74,669</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40"/>
              <w:spacing w:after="0"/>
              <w:rPr>
                <w:sz w:val="20"/>
                <w:szCs w:val="20"/>
                <w:color w:val="auto"/>
              </w:rPr>
            </w:pPr>
            <w:r>
              <w:rPr>
                <w:rFonts w:ascii="Times New Roman" w:cs="Times New Roman" w:eastAsia="Times New Roman" w:hAnsi="Times New Roman"/>
                <w:sz w:val="16"/>
                <w:szCs w:val="16"/>
                <w:color w:val="auto"/>
              </w:rPr>
              <w:t>Other income (expense):</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6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Interest income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0" w:type="dxa"/>
            <w:vAlign w:val="bottom"/>
          </w:tcPr>
          <w:p>
            <w:pPr>
              <w:spacing w:after="0"/>
              <w:rPr>
                <w:sz w:val="1"/>
                <w:szCs w:val="1"/>
                <w:color w:val="auto"/>
              </w:rPr>
            </w:pPr>
          </w:p>
        </w:tc>
      </w:tr>
      <w:tr>
        <w:trPr>
          <w:trHeight w:val="213"/>
        </w:trPr>
        <w:tc>
          <w:tcPr>
            <w:tcW w:w="6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Interest expense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(27,884)</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(expense) income, net</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(124,130)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(12,211)</w:t>
            </w:r>
          </w:p>
        </w:tc>
        <w:tc>
          <w:tcPr>
            <w:tcW w:w="0" w:type="dxa"/>
            <w:vAlign w:val="bottom"/>
          </w:tcPr>
          <w:p>
            <w:pPr>
              <w:spacing w:after="0"/>
              <w:rPr>
                <w:sz w:val="1"/>
                <w:szCs w:val="1"/>
                <w:color w:val="auto"/>
              </w:rPr>
            </w:pPr>
          </w:p>
        </w:tc>
      </w:tr>
      <w:tr>
        <w:trPr>
          <w:trHeight w:val="212"/>
        </w:trPr>
        <w:tc>
          <w:tcPr>
            <w:tcW w:w="660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Income (loss) before income taxes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(29,942)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35,978</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jc w:val="both"/>
        <w:ind w:right="620"/>
        <w:spacing w:after="0" w:line="278" w:lineRule="auto"/>
        <w:rPr>
          <w:sz w:val="20"/>
          <w:szCs w:val="20"/>
          <w:color w:val="auto"/>
        </w:rPr>
      </w:pPr>
      <w:r>
        <w:rPr>
          <w:rFonts w:ascii="Times New Roman" w:cs="Times New Roman" w:eastAsia="Times New Roman" w:hAnsi="Times New Roman"/>
          <w:sz w:val="18"/>
          <w:szCs w:val="18"/>
          <w:color w:val="auto"/>
        </w:rPr>
        <w:t>Capital expenditures and depreciation and amortization (related to both intangible assets and certain assets acquired in business combinations) by reportable segment are as follows:</w:t>
      </w:r>
    </w:p>
    <w:tbl>
      <w:tblPr>
        <w:tblLayout w:type="fixed"/>
        <w:tblInd w:w="660" w:type="dxa"/>
        <w:tblCellMar>
          <w:top w:w="0" w:type="dxa"/>
          <w:left w:w="0" w:type="dxa"/>
          <w:bottom w:w="0" w:type="dxa"/>
          <w:right w:w="0" w:type="dxa"/>
        </w:tblCellMar>
      </w:tblPr>
      <w:tr>
        <w:trPr>
          <w:trHeight w:val="162"/>
        </w:trPr>
        <w:tc>
          <w:tcPr>
            <w:tcW w:w="3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Unallocated</w:t>
            </w:r>
          </w:p>
        </w:tc>
        <w:tc>
          <w:tcPr>
            <w:tcW w:w="22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204"/>
        </w:trPr>
        <w:tc>
          <w:tcPr>
            <w:tcW w:w="3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RMS</w:t>
            </w:r>
          </w:p>
        </w:tc>
        <w:tc>
          <w:tcPr>
            <w:tcW w:w="360" w:type="dxa"/>
            <w:vAlign w:val="bottom"/>
          </w:tcPr>
          <w:p>
            <w:pPr>
              <w:spacing w:after="0"/>
              <w:rPr>
                <w:sz w:val="17"/>
                <w:szCs w:val="17"/>
                <w:color w:val="auto"/>
              </w:rPr>
            </w:pPr>
          </w:p>
        </w:tc>
        <w:tc>
          <w:tcPr>
            <w:tcW w:w="960" w:type="dxa"/>
            <w:vAlign w:val="bottom"/>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DSA</w:t>
            </w:r>
          </w:p>
        </w:tc>
        <w:tc>
          <w:tcPr>
            <w:tcW w:w="200" w:type="dxa"/>
            <w:vAlign w:val="bottom"/>
          </w:tcPr>
          <w:p>
            <w:pPr>
              <w:spacing w:after="0"/>
              <w:rPr>
                <w:sz w:val="17"/>
                <w:szCs w:val="17"/>
                <w:color w:val="auto"/>
              </w:rPr>
            </w:pPr>
          </w:p>
        </w:tc>
        <w:tc>
          <w:tcPr>
            <w:tcW w:w="11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Manufacturing</w:t>
            </w:r>
          </w:p>
        </w:tc>
        <w:tc>
          <w:tcPr>
            <w:tcW w:w="240" w:type="dxa"/>
            <w:vAlign w:val="bottom"/>
          </w:tcPr>
          <w:p>
            <w:pPr>
              <w:spacing w:after="0"/>
              <w:rPr>
                <w:sz w:val="17"/>
                <w:szCs w:val="17"/>
                <w:color w:val="auto"/>
              </w:rPr>
            </w:pPr>
          </w:p>
        </w:tc>
        <w:tc>
          <w:tcPr>
            <w:tcW w:w="110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Corporate</w:t>
            </w:r>
          </w:p>
        </w:tc>
        <w:tc>
          <w:tcPr>
            <w:tcW w:w="220" w:type="dxa"/>
            <w:vAlign w:val="bottom"/>
          </w:tcPr>
          <w:p>
            <w:pPr>
              <w:spacing w:after="0"/>
              <w:rPr>
                <w:sz w:val="17"/>
                <w:szCs w:val="17"/>
                <w:color w:val="auto"/>
              </w:rPr>
            </w:pPr>
          </w:p>
        </w:tc>
        <w:tc>
          <w:tcPr>
            <w:tcW w:w="1080" w:type="dxa"/>
            <w:vAlign w:val="bottom"/>
          </w:tcPr>
          <w:p>
            <w:pPr>
              <w:jc w:val="right"/>
              <w:ind w:right="141"/>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324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3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3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9"/>
        </w:trPr>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193"/>
        </w:trPr>
        <w:tc>
          <w:tcPr>
            <w:tcW w:w="324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3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4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28, 2026</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11,568</w:t>
            </w:r>
          </w:p>
        </w:tc>
        <w:tc>
          <w:tcPr>
            <w:tcW w:w="3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37,509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6,274</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557</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55,908</w:t>
            </w: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29, 2025</w:t>
            </w:r>
          </w:p>
        </w:tc>
        <w:tc>
          <w:tcPr>
            <w:tcW w:w="28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7,286</w:t>
            </w:r>
          </w:p>
        </w:tc>
        <w:tc>
          <w:tcPr>
            <w:tcW w:w="360" w:type="dxa"/>
            <w:vAlign w:val="bottom"/>
          </w:tcPr>
          <w:p>
            <w:pPr>
              <w:spacing w:after="0"/>
              <w:rPr>
                <w:sz w:val="20"/>
                <w:szCs w:val="20"/>
                <w:color w:val="auto"/>
              </w:rPr>
            </w:pP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34,521</w:t>
            </w:r>
          </w:p>
        </w:tc>
        <w:tc>
          <w:tcPr>
            <w:tcW w:w="200" w:type="dxa"/>
            <w:vAlign w:val="bottom"/>
          </w:tcPr>
          <w:p>
            <w:pPr>
              <w:spacing w:after="0"/>
              <w:rPr>
                <w:sz w:val="20"/>
                <w:szCs w:val="20"/>
                <w:color w:val="auto"/>
              </w:rPr>
            </w:pP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17,279</w:t>
            </w:r>
          </w:p>
        </w:tc>
        <w:tc>
          <w:tcPr>
            <w:tcW w:w="2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238</w:t>
            </w:r>
          </w:p>
        </w:tc>
        <w:tc>
          <w:tcPr>
            <w:tcW w:w="2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59,324</w:t>
            </w:r>
          </w:p>
        </w:tc>
      </w:tr>
      <w:tr>
        <w:trPr>
          <w:trHeight w:val="226"/>
        </w:trPr>
        <w:tc>
          <w:tcPr>
            <w:tcW w:w="32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 xml:space="preserve">Depreciation and amortization </w:t>
            </w:r>
            <w:r>
              <w:rPr>
                <w:rFonts w:ascii="Times New Roman" w:cs="Times New Roman" w:eastAsia="Times New Roman" w:hAnsi="Times New Roman"/>
                <w:sz w:val="18"/>
                <w:szCs w:val="18"/>
                <w:b w:val="1"/>
                <w:bCs w:val="1"/>
                <w:color w:val="auto"/>
                <w:vertAlign w:val="superscript"/>
              </w:rPr>
              <w:t>(1)</w:t>
            </w:r>
          </w:p>
        </w:tc>
        <w:tc>
          <w:tcPr>
            <w:tcW w:w="2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09"/>
        </w:trPr>
        <w:tc>
          <w:tcPr>
            <w:tcW w:w="3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3"/>
        </w:trPr>
        <w:tc>
          <w:tcPr>
            <w:tcW w:w="32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March 28, 2026</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16,140</w:t>
            </w:r>
          </w:p>
        </w:tc>
        <w:tc>
          <w:tcPr>
            <w:tcW w:w="3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39,914</w:t>
            </w:r>
          </w:p>
        </w:tc>
        <w:tc>
          <w:tcPr>
            <w:tcW w:w="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8,399</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2,698</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67,151</w:t>
            </w:r>
          </w:p>
        </w:tc>
      </w:tr>
      <w:tr>
        <w:trPr>
          <w:trHeight w:val="253"/>
        </w:trPr>
        <w:tc>
          <w:tcPr>
            <w:tcW w:w="32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March 29, 2025</w:t>
            </w:r>
          </w:p>
        </w:tc>
        <w:tc>
          <w:tcPr>
            <w:tcW w:w="28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21,761</w:t>
            </w:r>
          </w:p>
        </w:tc>
        <w:tc>
          <w:tcPr>
            <w:tcW w:w="36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42,084</w:t>
            </w: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54,623</w:t>
            </w:r>
          </w:p>
        </w:tc>
        <w:tc>
          <w:tcPr>
            <w:tcW w:w="2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1,896</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120,364</w:t>
            </w:r>
          </w:p>
        </w:tc>
      </w:tr>
    </w:tbl>
    <w:p>
      <w:pPr>
        <w:spacing w:after="0" w:line="13" w:lineRule="exact"/>
        <w:rPr>
          <w:sz w:val="20"/>
          <w:szCs w:val="20"/>
          <w:color w:val="auto"/>
        </w:rPr>
      </w:pPr>
    </w:p>
    <w:p>
      <w:pPr>
        <w:ind w:left="820" w:hanging="146"/>
        <w:spacing w:after="0"/>
        <w:tabs>
          <w:tab w:leader="none" w:pos="820" w:val="left"/>
        </w:tabs>
        <w:numPr>
          <w:ilvl w:val="0"/>
          <w:numId w:val="5"/>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Depreciation and amortization includes both inventory step up amortization expense and biological assets amortization expense.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represents sales originating in entities physically located in the identified geographic area. Revenue by geographic area is as follows:</w:t>
      </w:r>
    </w:p>
    <w:p>
      <w:pPr>
        <w:spacing w:after="0" w:line="5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U.S.</w:t>
            </w:r>
          </w:p>
        </w:tc>
        <w:tc>
          <w:tcPr>
            <w:tcW w:w="340" w:type="dxa"/>
            <w:vAlign w:val="bottom"/>
          </w:tcPr>
          <w:p>
            <w:pPr>
              <w:spacing w:after="0"/>
              <w:rPr>
                <w:sz w:val="16"/>
                <w:szCs w:val="16"/>
                <w:color w:val="auto"/>
              </w:rPr>
            </w:pPr>
          </w:p>
        </w:tc>
        <w:tc>
          <w:tcPr>
            <w:tcW w:w="106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320" w:type="dxa"/>
            <w:vAlign w:val="bottom"/>
          </w:tcPr>
          <w:p>
            <w:pPr>
              <w:spacing w:after="0"/>
              <w:rPr>
                <w:sz w:val="16"/>
                <w:szCs w:val="16"/>
                <w:color w:val="auto"/>
              </w:rPr>
            </w:pPr>
          </w:p>
        </w:tc>
        <w:tc>
          <w:tcPr>
            <w:tcW w:w="1080" w:type="dxa"/>
            <w:vAlign w:val="bottom"/>
          </w:tcPr>
          <w:p>
            <w:pPr>
              <w:jc w:val="right"/>
              <w:ind w:right="364"/>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60" w:type="dxa"/>
            <w:vAlign w:val="bottom"/>
          </w:tcPr>
          <w:p>
            <w:pPr>
              <w:spacing w:after="0"/>
              <w:rPr>
                <w:sz w:val="16"/>
                <w:szCs w:val="16"/>
                <w:color w:val="auto"/>
              </w:rPr>
            </w:pPr>
          </w:p>
        </w:tc>
        <w:tc>
          <w:tcPr>
            <w:tcW w:w="1140" w:type="dxa"/>
            <w:vAlign w:val="bottom"/>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20" w:type="dxa"/>
            <w:vAlign w:val="bottom"/>
          </w:tcPr>
          <w:p>
            <w:pPr>
              <w:spacing w:after="0"/>
              <w:rPr>
                <w:sz w:val="16"/>
                <w:szCs w:val="16"/>
                <w:color w:val="auto"/>
              </w:rPr>
            </w:pPr>
          </w:p>
        </w:tc>
        <w:tc>
          <w:tcPr>
            <w:tcW w:w="108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 xml:space="preserve">Other </w:t>
            </w:r>
            <w:r>
              <w:rPr>
                <w:rFonts w:ascii="Times New Roman" w:cs="Times New Roman" w:eastAsia="Times New Roman" w:hAnsi="Times New Roman"/>
                <w:sz w:val="9"/>
                <w:szCs w:val="9"/>
                <w:b w:val="1"/>
                <w:bCs w:val="1"/>
                <w:color w:val="auto"/>
              </w:rPr>
              <w:t>(1)</w:t>
            </w:r>
          </w:p>
        </w:tc>
        <w:tc>
          <w:tcPr>
            <w:tcW w:w="240" w:type="dxa"/>
            <w:vAlign w:val="bottom"/>
          </w:tcPr>
          <w:p>
            <w:pPr>
              <w:spacing w:after="0"/>
              <w:rPr>
                <w:sz w:val="16"/>
                <w:szCs w:val="16"/>
                <w:color w:val="auto"/>
              </w:rPr>
            </w:pPr>
          </w:p>
        </w:tc>
        <w:tc>
          <w:tcPr>
            <w:tcW w:w="114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21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80" w:type="dxa"/>
            <w:vAlign w:val="bottom"/>
            <w:tcBorders>
              <w:bottom w:val="single" w:sz="8" w:color="auto"/>
            </w:tcBorders>
            <w:gridSpan w:val="3"/>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r>
      <w:tr>
        <w:trPr>
          <w:trHeight w:val="186"/>
        </w:trPr>
        <w:tc>
          <w:tcPr>
            <w:tcW w:w="2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3"/>
          </w:tcPr>
          <w:p>
            <w:pPr>
              <w:jc w:val="right"/>
              <w:ind w:right="8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37"/>
        </w:trPr>
        <w:tc>
          <w:tcPr>
            <w:tcW w:w="2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40" w:type="dxa"/>
            <w:vAlign w:val="bottom"/>
          </w:tcPr>
          <w:p>
            <w:pPr>
              <w:spacing w:after="0"/>
              <w:rPr>
                <w:sz w:val="3"/>
                <w:szCs w:val="3"/>
                <w:color w:val="auto"/>
              </w:rPr>
            </w:pPr>
          </w:p>
        </w:tc>
      </w:tr>
      <w:tr>
        <w:trPr>
          <w:trHeight w:val="209"/>
        </w:trPr>
        <w:tc>
          <w:tcPr>
            <w:tcW w:w="2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r>
      <w:tr>
        <w:trPr>
          <w:trHeight w:val="233"/>
        </w:trPr>
        <w:tc>
          <w:tcPr>
            <w:tcW w:w="2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28, 2026</w:t>
            </w: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543,809</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277,577</w:t>
            </w:r>
          </w:p>
        </w:tc>
        <w:tc>
          <w:tcPr>
            <w:tcW w:w="3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109,567</w:t>
            </w:r>
          </w:p>
        </w:tc>
        <w:tc>
          <w:tcPr>
            <w:tcW w:w="2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55,481</w:t>
            </w:r>
          </w:p>
        </w:tc>
        <w:tc>
          <w:tcPr>
            <w:tcW w:w="3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9,396</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995,830</w:t>
            </w:r>
          </w:p>
        </w:tc>
      </w:tr>
      <w:tr>
        <w:trPr>
          <w:trHeight w:val="253"/>
        </w:trPr>
        <w:tc>
          <w:tcPr>
            <w:tcW w:w="21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March 29, 2025</w:t>
            </w:r>
          </w:p>
        </w:tc>
        <w:tc>
          <w:tcPr>
            <w:tcW w:w="32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536,955</w:t>
            </w:r>
          </w:p>
        </w:tc>
        <w:tc>
          <w:tcPr>
            <w:tcW w:w="3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263,250</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125,353</w:t>
            </w:r>
          </w:p>
        </w:tc>
        <w:tc>
          <w:tcPr>
            <w:tcW w:w="26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41,942</w:t>
            </w:r>
          </w:p>
        </w:tc>
        <w:tc>
          <w:tcPr>
            <w:tcW w:w="320" w:type="dxa"/>
            <w:vAlign w:val="bottom"/>
            <w:shd w:val="clear" w:color="auto" w:fill="CCEEFF"/>
          </w:tcPr>
          <w:p>
            <w:pPr>
              <w:spacing w:after="0"/>
              <w:rPr>
                <w:sz w:val="21"/>
                <w:szCs w:val="21"/>
                <w:color w:val="auto"/>
              </w:rPr>
            </w:pPr>
          </w:p>
        </w:tc>
        <w:tc>
          <w:tcPr>
            <w:tcW w:w="108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16,668</w:t>
            </w:r>
          </w:p>
        </w:tc>
        <w:tc>
          <w:tcPr>
            <w:tcW w:w="24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984,168</w:t>
            </w:r>
          </w:p>
        </w:tc>
      </w:tr>
    </w:tbl>
    <w:p>
      <w:pPr>
        <w:spacing w:after="0" w:line="85" w:lineRule="exact"/>
        <w:rPr>
          <w:sz w:val="20"/>
          <w:szCs w:val="20"/>
          <w:color w:val="auto"/>
        </w:rPr>
      </w:pPr>
    </w:p>
    <w:p>
      <w:pPr>
        <w:ind w:left="820" w:hanging="146"/>
        <w:spacing w:after="0"/>
        <w:tabs>
          <w:tab w:leader="none" w:pos="820" w:val="left"/>
        </w:tabs>
        <w:numPr>
          <w:ilvl w:val="0"/>
          <w:numId w:val="6"/>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 Other category represents operations located in Brazil, Israel, and Mauritius.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6" w:name="page17"/>
    <w:bookmarkEnd w:id="16"/>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7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Long-lived assets consist of property, plant, and equipment, net. Long-lived assets by geographic area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U.S.</w:t>
            </w:r>
          </w:p>
        </w:tc>
        <w:tc>
          <w:tcPr>
            <w:tcW w:w="300" w:type="dxa"/>
            <w:vAlign w:val="bottom"/>
          </w:tcPr>
          <w:p>
            <w:pPr>
              <w:spacing w:after="0"/>
              <w:rPr>
                <w:sz w:val="16"/>
                <w:szCs w:val="16"/>
                <w:color w:val="auto"/>
              </w:rPr>
            </w:pPr>
          </w:p>
        </w:tc>
        <w:tc>
          <w:tcPr>
            <w:tcW w:w="102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Europe</w:t>
            </w:r>
          </w:p>
        </w:tc>
        <w:tc>
          <w:tcPr>
            <w:tcW w:w="300" w:type="dxa"/>
            <w:vAlign w:val="bottom"/>
          </w:tcPr>
          <w:p>
            <w:pPr>
              <w:spacing w:after="0"/>
              <w:rPr>
                <w:sz w:val="16"/>
                <w:szCs w:val="16"/>
                <w:color w:val="auto"/>
              </w:rPr>
            </w:pPr>
          </w:p>
        </w:tc>
        <w:tc>
          <w:tcPr>
            <w:tcW w:w="1020" w:type="dxa"/>
            <w:vAlign w:val="bottom"/>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Canada</w:t>
            </w:r>
          </w:p>
        </w:tc>
        <w:tc>
          <w:tcPr>
            <w:tcW w:w="240" w:type="dxa"/>
            <w:vAlign w:val="bottom"/>
          </w:tcPr>
          <w:p>
            <w:pPr>
              <w:spacing w:after="0"/>
              <w:rPr>
                <w:sz w:val="16"/>
                <w:szCs w:val="16"/>
                <w:color w:val="auto"/>
              </w:rPr>
            </w:pPr>
          </w:p>
        </w:tc>
        <w:tc>
          <w:tcPr>
            <w:tcW w:w="106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Asia Pacific</w:t>
            </w:r>
          </w:p>
        </w:tc>
        <w:tc>
          <w:tcPr>
            <w:tcW w:w="340" w:type="dxa"/>
            <w:vAlign w:val="bottom"/>
          </w:tcPr>
          <w:p>
            <w:pPr>
              <w:spacing w:after="0"/>
              <w:rPr>
                <w:sz w:val="16"/>
                <w:szCs w:val="16"/>
                <w:color w:val="auto"/>
              </w:rPr>
            </w:pPr>
          </w:p>
        </w:tc>
        <w:tc>
          <w:tcPr>
            <w:tcW w:w="1000" w:type="dxa"/>
            <w:vAlign w:val="bottom"/>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20" w:type="dxa"/>
            <w:vAlign w:val="bottom"/>
          </w:tcPr>
          <w:p>
            <w:pPr>
              <w:spacing w:after="0"/>
              <w:rPr>
                <w:sz w:val="16"/>
                <w:szCs w:val="16"/>
                <w:color w:val="auto"/>
              </w:rPr>
            </w:pPr>
          </w:p>
        </w:tc>
        <w:tc>
          <w:tcPr>
            <w:tcW w:w="1080" w:type="dxa"/>
            <w:vAlign w:val="bottom"/>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37"/>
        </w:trPr>
        <w:tc>
          <w:tcPr>
            <w:tcW w:w="8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320" w:type="dxa"/>
            <w:vAlign w:val="bottom"/>
            <w:tcBorders>
              <w:bottom w:val="single" w:sz="8" w:color="auto"/>
            </w:tcBorders>
            <w:gridSpan w:val="3"/>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186"/>
        </w:trPr>
        <w:tc>
          <w:tcPr>
            <w:tcW w:w="8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320" w:type="dxa"/>
            <w:vAlign w:val="bottom"/>
            <w:gridSpan w:val="3"/>
          </w:tcPr>
          <w:p>
            <w:pPr>
              <w:jc w:val="right"/>
              <w:ind w:right="76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7"/>
        </w:trPr>
        <w:tc>
          <w:tcPr>
            <w:tcW w:w="200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09"/>
        </w:trPr>
        <w:tc>
          <w:tcPr>
            <w:tcW w:w="20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Long-lived assets</w:t>
            </w:r>
          </w:p>
        </w:tc>
        <w:tc>
          <w:tcPr>
            <w:tcW w:w="2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r>
      <w:tr>
        <w:trPr>
          <w:trHeight w:val="233"/>
        </w:trPr>
        <w:tc>
          <w:tcPr>
            <w:tcW w:w="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March 28,</w:t>
            </w:r>
          </w:p>
        </w:tc>
        <w:tc>
          <w:tcPr>
            <w:tcW w:w="1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794,015</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450,338</w:t>
            </w:r>
          </w:p>
        </w:tc>
        <w:tc>
          <w:tcPr>
            <w:tcW w:w="30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rPr>
              <w:t>162,414</w:t>
            </w: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60,906</w:t>
            </w:r>
          </w:p>
        </w:tc>
        <w:tc>
          <w:tcPr>
            <w:tcW w:w="3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42,481</w:t>
            </w: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1,510,154</w:t>
            </w:r>
          </w:p>
        </w:tc>
      </w:tr>
      <w:tr>
        <w:trPr>
          <w:trHeight w:val="253"/>
        </w:trPr>
        <w:tc>
          <w:tcPr>
            <w:tcW w:w="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December</w:t>
            </w:r>
          </w:p>
        </w:tc>
        <w:tc>
          <w:tcPr>
            <w:tcW w:w="1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27, 2025</w:t>
            </w: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919,236</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468,638</w:t>
            </w: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163,337</w:t>
            </w:r>
          </w:p>
        </w:tc>
        <w:tc>
          <w:tcPr>
            <w:tcW w:w="24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61,814</w:t>
            </w:r>
          </w:p>
        </w:tc>
        <w:tc>
          <w:tcPr>
            <w:tcW w:w="3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42,194</w:t>
            </w:r>
          </w:p>
        </w:tc>
        <w:tc>
          <w:tcPr>
            <w:tcW w:w="2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1,655,219</w:t>
            </w: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SUPPLEMENTAL CASH FLOW INFORMATION</w:t>
      </w:r>
    </w:p>
    <w:p>
      <w:pPr>
        <w:spacing w:after="0" w:line="6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80" w:type="dxa"/>
            <w:vAlign w:val="bottom"/>
          </w:tcPr>
          <w:p>
            <w:pPr>
              <w:spacing w:after="0"/>
              <w:rPr>
                <w:sz w:val="16"/>
                <w:szCs w:val="16"/>
                <w:color w:val="auto"/>
              </w:rPr>
            </w:pPr>
          </w:p>
        </w:tc>
        <w:tc>
          <w:tcPr>
            <w:tcW w:w="13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3"/>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paid for income taxes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1,727</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17,324</w:t>
            </w: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paid for interest</w:t>
            </w:r>
          </w:p>
        </w:tc>
        <w:tc>
          <w:tcPr>
            <w:tcW w:w="200" w:type="dxa"/>
            <w:vAlign w:val="bottom"/>
          </w:tcPr>
          <w:p>
            <w:pPr>
              <w:spacing w:after="0"/>
              <w:rPr>
                <w:sz w:val="18"/>
                <w:szCs w:val="18"/>
                <w:color w:val="auto"/>
              </w:rPr>
            </w:pP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28,993</w:t>
            </w:r>
          </w:p>
        </w:tc>
        <w:tc>
          <w:tcPr>
            <w:tcW w:w="2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29,088</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activities: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Purchases of Property, plant and equipment included in Accounts payable and Accrued liabilities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20,796</w:t>
            </w:r>
          </w:p>
        </w:tc>
        <w:tc>
          <w:tcPr>
            <w:tcW w:w="2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22,391</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Assets acquired under finance leases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1,910</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cash equivalents and restricted cash are included in the accompanying unaudited condensed consolidated balance sheets as follows:</w:t>
      </w:r>
    </w:p>
    <w:p>
      <w:pPr>
        <w:spacing w:after="0" w:line="43"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3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Supplemental cash flow information:</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191,830</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229,356</w:t>
            </w:r>
          </w:p>
        </w:tc>
      </w:tr>
      <w:tr>
        <w:trPr>
          <w:trHeight w:val="219"/>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classified as held for sale in Other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current assets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904</w:t>
            </w:r>
          </w:p>
        </w:tc>
      </w:tr>
      <w:tr>
        <w:trPr>
          <w:trHeight w:val="21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Restricted cash included in Other assets</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1,468</w:t>
            </w: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end of period</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198,201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231,728</w:t>
            </w: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SUPPLEMENTAL BALANCE SHEET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other assets included in the accompanying unaudited condensed consolidated balance sheets is as follows: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4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22"/>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Bearer biological assets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406,254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135,647</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 held for sale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288,262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21,223</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Life insurance policies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64,383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66,318</w:t>
            </w: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1,602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pension assets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37,256</w:t>
            </w:r>
          </w:p>
        </w:tc>
      </w:tr>
      <w:tr>
        <w:trPr>
          <w:trHeight w:val="213"/>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long-term assets</w:t>
            </w: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28,675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31,180</w:t>
            </w:r>
          </w:p>
        </w:tc>
      </w:tr>
      <w:tr>
        <w:trPr>
          <w:trHeight w:val="237"/>
        </w:trPr>
        <w:tc>
          <w:tcPr>
            <w:tcW w:w="66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826,165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293,185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0"/>
          </w:cols>
          <w:pgMar w:left="320" w:top="117" w:right="1099" w:bottom="1440" w:gutter="0" w:footer="0" w:header="0"/>
        </w:sectPr>
      </w:pPr>
    </w:p>
    <w:bookmarkStart w:id="17" w:name="page18"/>
    <w:bookmarkEnd w:id="17"/>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other long-term liabilities included in the accompanying unaudited condensed consolidated balance sheets is as follows:</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4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0" w:type="dxa"/>
            <w:vAlign w:val="bottom"/>
          </w:tcPr>
          <w:p>
            <w:pPr>
              <w:spacing w:after="0"/>
              <w:rPr>
                <w:sz w:val="1"/>
                <w:szCs w:val="1"/>
                <w:color w:val="auto"/>
              </w:rPr>
            </w:pPr>
          </w:p>
        </w:tc>
      </w:tr>
      <w:tr>
        <w:trPr>
          <w:trHeight w:val="23"/>
        </w:trPr>
        <w:tc>
          <w:tcPr>
            <w:tcW w:w="66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2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168"/>
        </w:trPr>
        <w:tc>
          <w:tcPr>
            <w:tcW w:w="6600" w:type="dxa"/>
            <w:vAlign w:val="bottom"/>
            <w:shd w:val="clear" w:color="auto" w:fill="CCEEFF"/>
          </w:tcPr>
          <w:p>
            <w:pPr>
              <w:ind w:left="20"/>
              <w:spacing w:after="0" w:line="168" w:lineRule="exact"/>
              <w:rPr>
                <w:sz w:val="20"/>
                <w:szCs w:val="20"/>
                <w:color w:val="auto"/>
              </w:rPr>
            </w:pPr>
            <w:r>
              <w:rPr>
                <w:rFonts w:ascii="Times New Roman" w:cs="Times New Roman" w:eastAsia="Times New Roman" w:hAnsi="Times New Roman"/>
                <w:sz w:val="16"/>
                <w:szCs w:val="16"/>
                <w:color w:val="auto"/>
              </w:rPr>
              <w:t>Long-term pension liability, accrued executive supplemental life insurance retirement plan and</w:t>
            </w: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66,302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68,440</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deferred compensation plan</w:t>
            </w:r>
          </w:p>
        </w:tc>
        <w:tc>
          <w:tcPr>
            <w:tcW w:w="200" w:type="dxa"/>
            <w:vAlign w:val="bottom"/>
            <w:vMerge w:val="continue"/>
            <w:shd w:val="clear" w:color="auto" w:fill="CCEEFF"/>
          </w:tcPr>
          <w:p>
            <w:pPr>
              <w:spacing w:after="0"/>
              <w:rPr>
                <w:sz w:val="18"/>
                <w:szCs w:val="18"/>
                <w:color w:val="auto"/>
              </w:rPr>
            </w:pPr>
          </w:p>
        </w:tc>
        <w:tc>
          <w:tcPr>
            <w:tcW w:w="13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 term tax liability</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201,569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15,339</w:t>
            </w:r>
          </w:p>
        </w:tc>
        <w:tc>
          <w:tcPr>
            <w:tcW w:w="0" w:type="dxa"/>
            <w:vAlign w:val="bottom"/>
          </w:tcPr>
          <w:p>
            <w:pPr>
              <w:spacing w:after="0"/>
              <w:rPr>
                <w:sz w:val="1"/>
                <w:szCs w:val="1"/>
                <w:color w:val="auto"/>
              </w:rPr>
            </w:pPr>
          </w:p>
        </w:tc>
      </w:tr>
      <w:tr>
        <w:trPr>
          <w:trHeight w:val="21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Liabilities held for sale</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144,206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45,632</w:t>
            </w:r>
          </w:p>
        </w:tc>
        <w:tc>
          <w:tcPr>
            <w:tcW w:w="0" w:type="dxa"/>
            <w:vAlign w:val="bottom"/>
          </w:tcPr>
          <w:p>
            <w:pPr>
              <w:spacing w:after="0"/>
              <w:rPr>
                <w:sz w:val="1"/>
                <w:szCs w:val="1"/>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51,506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8,891</w:t>
            </w:r>
          </w:p>
        </w:tc>
        <w:tc>
          <w:tcPr>
            <w:tcW w:w="0" w:type="dxa"/>
            <w:vAlign w:val="bottom"/>
          </w:tcPr>
          <w:p>
            <w:pPr>
              <w:spacing w:after="0"/>
              <w:rPr>
                <w:sz w:val="1"/>
                <w:szCs w:val="1"/>
                <w:color w:val="auto"/>
              </w:rPr>
            </w:pPr>
          </w:p>
        </w:tc>
      </w:tr>
      <w:tr>
        <w:trPr>
          <w:trHeight w:val="212"/>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510,646</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138,302</w:t>
            </w:r>
          </w:p>
        </w:tc>
        <w:tc>
          <w:tcPr>
            <w:tcW w:w="0" w:type="dxa"/>
            <w:vAlign w:val="bottom"/>
          </w:tcPr>
          <w:p>
            <w:pPr>
              <w:spacing w:after="0"/>
              <w:rPr>
                <w:sz w:val="1"/>
                <w:szCs w:val="1"/>
                <w:color w:val="auto"/>
              </w:rPr>
            </w:pPr>
          </w:p>
        </w:tc>
      </w:tr>
      <w:tr>
        <w:trPr>
          <w:trHeight w:val="21"/>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INVENTORY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inventories is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supplies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30,937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40,959</w:t>
            </w: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Work in process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53,335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88,743</w:t>
            </w:r>
          </w:p>
        </w:tc>
      </w:tr>
      <w:tr>
        <w:trPr>
          <w:trHeight w:val="24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Finished products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275,451</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169,401</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359,723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299,103</w:t>
            </w: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28, 2026, the Company did not incur inventory step up amortization expense. Inventory step up amortization expense for the three months ended March 29, 2025 was $6.2 million.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PROPERTY, PLANT AND EQUIPMENT,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composition of property, plant and equipment, net is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40" w:type="dxa"/>
            <w:vAlign w:val="bottom"/>
          </w:tcPr>
          <w:p>
            <w:pPr>
              <w:spacing w:after="0"/>
              <w:rPr>
                <w:sz w:val="16"/>
                <w:szCs w:val="16"/>
                <w:color w:val="auto"/>
              </w:rPr>
            </w:pPr>
          </w:p>
        </w:tc>
        <w:tc>
          <w:tcPr>
            <w:tcW w:w="142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Land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73,192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72,022</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Buildings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1,074,802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1,097,572</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Machinery and equipment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973,729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1,093,556</w:t>
            </w: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Leasehold improvements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341,013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438,230</w:t>
            </w:r>
          </w:p>
        </w:tc>
      </w:tr>
      <w:tr>
        <w:trPr>
          <w:trHeight w:val="25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Furniture and fixtures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23,309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27,873</w:t>
            </w:r>
          </w:p>
        </w:tc>
      </w:tr>
      <w:tr>
        <w:trPr>
          <w:trHeight w:val="24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Computer hardware and software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281,770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284,913</w:t>
            </w: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Vehicles </w:t>
            </w:r>
            <w:r>
              <w:rPr>
                <w:rFonts w:ascii="Times New Roman" w:cs="Times New Roman" w:eastAsia="Times New Roman" w:hAnsi="Times New Roman"/>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7,152</w:t>
            </w:r>
          </w:p>
        </w:tc>
      </w:tr>
      <w:tr>
        <w:trPr>
          <w:trHeight w:val="236"/>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Construction in progress</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167,348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171,604</w:t>
            </w:r>
          </w:p>
        </w:tc>
      </w:tr>
      <w:tr>
        <w:trPr>
          <w:trHeight w:val="243"/>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2,941,706</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3,192,922</w:t>
            </w:r>
          </w:p>
        </w:tc>
      </w:tr>
      <w:tr>
        <w:trPr>
          <w:trHeight w:val="23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Less: Accumulated depreciation</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(1,431,552)</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(1,537,703)</w:t>
            </w:r>
          </w:p>
        </w:tc>
      </w:tr>
      <w:tr>
        <w:trPr>
          <w:trHeight w:val="268"/>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1,510,154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1,655,219</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ind w:left="800" w:hanging="126"/>
        <w:spacing w:after="0"/>
        <w:tabs>
          <w:tab w:leader="none" w:pos="800" w:val="left"/>
        </w:tabs>
        <w:numPr>
          <w:ilvl w:val="0"/>
          <w:numId w:val="7"/>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These balances include assets under finance leases.</w:t>
      </w:r>
    </w:p>
    <w:p>
      <w:pPr>
        <w:spacing w:after="0" w:line="23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March 2026, the Company completed the sale of certain assets at the Wilmington, Massachusetts site. The assets consisted of office, laboratory and mixed-use buildings within our RMS segment and unallocated corporate, and was sold to an unrelated third party for cash consideration of $60.1 million, net of costs to sell. In conjunction with the sale, the Company has entered into a long-term operating lease for certain buildings to support RMS and unallocated corporate operations. Upon meeting the criteria for sale leaseback, the Company derecognized the book value of $21.6 million and recognized a pre-tax gain of $38.5 million. The gain was recognized within the RMS reportable segment and unallocated corporate for $23.2 million and</w:t>
      </w:r>
    </w:p>
    <w:p>
      <w:pPr>
        <w:spacing w:after="0" w:line="3"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8"/>
          <w:szCs w:val="18"/>
          <w:color w:val="auto"/>
        </w:rPr>
        <w:t>$15.3 million, respectively, and is included in Selling, general and administrative expenses within the unaudited condensed consolidated statements of income (loss). As of December 27, 2025, the Company included the above assets as held for sale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7" w:right="459" w:bottom="1440" w:gutter="0" w:footer="0" w:header="0"/>
        </w:sectPr>
      </w:pPr>
    </w:p>
    <w:bookmarkStart w:id="18" w:name="page19"/>
    <w:bookmarkEnd w:id="18"/>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within Other assets on the unaudited condensed consolidated balance sheets.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expense in the three months ended March 28, 2026 and March 29, 2025 was $41.3 million and $43.4 million, respectively.</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VENTURE CAPITAL AND STRATEGIC EQUITY INVESTMENTS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Venture capital investments are summarized below:</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125,696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116,561</w:t>
            </w:r>
          </w:p>
        </w:tc>
      </w:tr>
      <w:tr>
        <w:trPr>
          <w:trHeight w:val="21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Capital contributions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6,402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5,216</w:t>
            </w:r>
          </w:p>
        </w:tc>
      </w:tr>
      <w:tr>
        <w:trPr>
          <w:trHeight w:val="219"/>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w:t>
            </w:r>
          </w:p>
        </w:tc>
      </w:tr>
      <w:tr>
        <w:trPr>
          <w:trHeight w:val="21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Gains (losses) and impairments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(8,634)</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129,419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111,041</w:t>
            </w: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also invests, with minority positions, directly in equity of predominantly privately held companies. Strategic investments are summarized below:</w:t>
      </w:r>
    </w:p>
    <w:p>
      <w:pPr>
        <w:spacing w:after="0" w:line="10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81,276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101,790</w:t>
            </w:r>
          </w:p>
        </w:tc>
      </w:tr>
      <w:tr>
        <w:trPr>
          <w:trHeight w:val="21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 of investments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2,241</w:t>
            </w:r>
          </w:p>
        </w:tc>
      </w:tr>
      <w:tr>
        <w:trPr>
          <w:trHeight w:val="219"/>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Distributions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66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Gains (losses) and impairments</w:t>
            </w: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(1,740)</w:t>
            </w:r>
          </w:p>
        </w:tc>
      </w:tr>
      <w:tr>
        <w:trPr>
          <w:trHeight w:val="216"/>
        </w:trPr>
        <w:tc>
          <w:tcPr>
            <w:tcW w:w="66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Foreign currency translation</w:t>
            </w: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r>
      <w:tr>
        <w:trPr>
          <w:trHeight w:val="212"/>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80,304</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102,985</w:t>
            </w: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Assets and liabilities measured at fair value on a recurring basis are summarized below:</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62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measured at fair value:</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0"/>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Life insurance policies</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56,482</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56,482</w:t>
            </w:r>
          </w:p>
        </w:tc>
      </w:tr>
      <w:tr>
        <w:trPr>
          <w:trHeight w:val="259"/>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56,482</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56,482</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204"/>
        </w:trPr>
        <w:tc>
          <w:tcPr>
            <w:tcW w:w="4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liabilities measured at fair value:</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0"/>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r>
      <w:tr>
        <w:trPr>
          <w:trHeight w:val="260"/>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Company recognizes transfers between levels within the fair value hierarchy, if any, at the end of each quarter. During the three months ended March 28, 2026, there were no transfers between levels.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97"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40" w:type="dxa"/>
            <w:vAlign w:val="bottom"/>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980" w:type="dxa"/>
            <w:vAlign w:val="bottom"/>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420" w:type="dxa"/>
            <w:vAlign w:val="bottom"/>
          </w:tcPr>
          <w:p>
            <w:pPr>
              <w:spacing w:after="0"/>
              <w:rPr>
                <w:sz w:val="16"/>
                <w:szCs w:val="16"/>
                <w:color w:val="auto"/>
              </w:rPr>
            </w:pPr>
          </w:p>
        </w:tc>
        <w:tc>
          <w:tcPr>
            <w:tcW w:w="9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20" w:type="dxa"/>
            <w:vAlign w:val="bottom"/>
          </w:tcPr>
          <w:p>
            <w:pPr>
              <w:spacing w:after="0"/>
              <w:rPr>
                <w:sz w:val="16"/>
                <w:szCs w:val="16"/>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490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gridSpan w:val="3"/>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4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4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 measured at fair value:</w:t>
            </w:r>
          </w:p>
        </w:tc>
        <w:tc>
          <w:tcPr>
            <w:tcW w:w="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r>
      <w:tr>
        <w:trPr>
          <w:trHeight w:val="240"/>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Life insurance policies</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58,427</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58,427</w:t>
            </w:r>
          </w:p>
        </w:tc>
      </w:tr>
      <w:tr>
        <w:trPr>
          <w:trHeight w:val="259"/>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 measured at fair value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58,427</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58,427</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r>
        <w:trPr>
          <w:trHeight w:val="109"/>
        </w:trPr>
        <w:tc>
          <w:tcPr>
            <w:tcW w:w="4900" w:type="dxa"/>
            <w:vAlign w:val="bottom"/>
          </w:tcPr>
          <w:p>
            <w:pPr>
              <w:spacing w:after="0"/>
              <w:rPr>
                <w:sz w:val="9"/>
                <w:szCs w:val="9"/>
                <w:color w:val="auto"/>
              </w:rPr>
            </w:pPr>
          </w:p>
        </w:tc>
        <w:tc>
          <w:tcPr>
            <w:tcW w:w="9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2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Pr>
          <w:p>
            <w:pPr>
              <w:spacing w:after="0"/>
              <w:rPr>
                <w:sz w:val="9"/>
                <w:szCs w:val="9"/>
                <w:color w:val="auto"/>
              </w:rPr>
            </w:pPr>
          </w:p>
        </w:tc>
      </w:tr>
      <w:tr>
        <w:trPr>
          <w:trHeight w:val="243"/>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liabilities measured at fair value:</w:t>
            </w:r>
          </w:p>
        </w:tc>
        <w:tc>
          <w:tcPr>
            <w:tcW w:w="9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r>
      <w:tr>
        <w:trPr>
          <w:trHeight w:val="236"/>
        </w:trPr>
        <w:tc>
          <w:tcPr>
            <w:tcW w:w="49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Contingent consideration</w:t>
            </w:r>
          </w:p>
        </w:tc>
        <w:tc>
          <w:tcPr>
            <w:tcW w:w="980" w:type="dxa"/>
            <w:vAlign w:val="bottom"/>
            <w:tcBorders>
              <w:bottom w:val="single" w:sz="8" w:color="auto"/>
            </w:tcBorders>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20"/>
                <w:szCs w:val="20"/>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r>
      <w:tr>
        <w:trPr>
          <w:trHeight w:val="263"/>
        </w:trPr>
        <w:tc>
          <w:tcPr>
            <w:tcW w:w="4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 measured at fair value</w:t>
            </w:r>
          </w:p>
        </w:tc>
        <w:tc>
          <w:tcPr>
            <w:tcW w:w="980" w:type="dxa"/>
            <w:vAlign w:val="bottom"/>
            <w:shd w:val="clear" w:color="auto" w:fill="CCEEFF"/>
          </w:tcPr>
          <w:p>
            <w:pPr>
              <w:jc w:val="right"/>
              <w:ind w:right="801"/>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c>
          <w:tcPr>
            <w:tcW w:w="8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30,000</w:t>
            </w: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year ended December 27, 2025, there were no transfers between levels.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Consideration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contingent consideration related to the Company’s acquisitions.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4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7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4"/>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49,311</w:t>
            </w:r>
          </w:p>
        </w:tc>
      </w:tr>
      <w:tr>
        <w:trPr>
          <w:trHeight w:val="240"/>
        </w:trPr>
        <w:tc>
          <w:tcPr>
            <w:tcW w:w="7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Adjustment of previously recorded contingent liability</w:t>
            </w:r>
          </w:p>
        </w:tc>
        <w:tc>
          <w:tcPr>
            <w:tcW w:w="220" w:type="dxa"/>
            <w:vAlign w:val="bottom"/>
          </w:tcPr>
          <w:p>
            <w:pPr>
              <w:spacing w:after="0"/>
              <w:rPr>
                <w:sz w:val="20"/>
                <w:szCs w:val="20"/>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909</w:t>
            </w:r>
          </w:p>
        </w:tc>
      </w:tr>
      <w:tr>
        <w:trPr>
          <w:trHeight w:val="264"/>
        </w:trPr>
        <w:tc>
          <w:tcPr>
            <w:tcW w:w="7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30,000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top w:val="single" w:sz="8" w:color="auto"/>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50,220</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estimates the fair value of contingent consideration obligations through valuation models, such as probability-weighted and option pricing models, which incorporate probability adjusted assumptions and simulations related to the achievement of the milestones and the likelihood of making related payments. The unobservable inputs used in the fair value measurements include the probabilities of successful achievement of certain financial targets, forecasted results or targets, volatility, and discount rates. The remaining maximum potential payments are approximately $30.0 million, the full value of which is accrued as of March 28, 2026. As of March 28, 2026, the weighted average probability of achieving the maximum target is approximately 100%. The volatility and weighted average cost of capital is approximately 20% and 8%, respectively.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Instruments</w:t>
      </w:r>
    </w:p>
    <w:p>
      <w:pPr>
        <w:spacing w:after="0" w:line="121"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book value of the Company’s revolving loans are variable rate loans carried at amortized cost which approximates the fair value. The fair value is based on significant other observable inputs, including current interest and foreign currency exchange rates, it is deemed to be Level 2 within the fair value hierarchy.</w:t>
      </w:r>
    </w:p>
    <w:p>
      <w:pPr>
        <w:spacing w:after="0" w:line="68"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book value of the Company’s Senior Notes are fixed rate obligations carried at amortized cost. Fair value is based on quoted market prices as well as borrowing rates available to the Company. As the fair value is based on significant other observable outputs, it is deemed to be Level 2 within the fair value hierarchy. The book value, excluding issuance costs, and fair value of the Company’s Senior Notes is summarized below:</w:t>
      </w:r>
    </w:p>
    <w:p>
      <w:pPr>
        <w:spacing w:after="0" w:line="10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960" w:type="dxa"/>
            <w:vAlign w:val="bottom"/>
            <w:gridSpan w:val="3"/>
          </w:tcPr>
          <w:p>
            <w:pPr>
              <w:jc w:val="right"/>
              <w:ind w:right="1041"/>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23"/>
        </w:trPr>
        <w:tc>
          <w:tcPr>
            <w:tcW w:w="35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35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5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Book Value</w:t>
            </w:r>
          </w:p>
        </w:tc>
        <w:tc>
          <w:tcPr>
            <w:tcW w:w="3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2"/>
        </w:trPr>
        <w:tc>
          <w:tcPr>
            <w:tcW w:w="3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60" w:type="dxa"/>
            <w:vAlign w:val="bottom"/>
          </w:tcPr>
          <w:p>
            <w:pPr>
              <w:spacing w:after="0"/>
              <w:rPr>
                <w:sz w:val="16"/>
                <w:szCs w:val="16"/>
                <w:color w:val="auto"/>
              </w:rPr>
            </w:pPr>
          </w:p>
        </w:tc>
      </w:tr>
      <w:tr>
        <w:trPr>
          <w:trHeight w:val="37"/>
        </w:trPr>
        <w:tc>
          <w:tcPr>
            <w:tcW w:w="3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360" w:type="dxa"/>
            <w:vAlign w:val="bottom"/>
          </w:tcPr>
          <w:p>
            <w:pPr>
              <w:spacing w:after="0"/>
              <w:rPr>
                <w:sz w:val="3"/>
                <w:szCs w:val="3"/>
                <w:color w:val="auto"/>
              </w:rPr>
            </w:pPr>
          </w:p>
        </w:tc>
        <w:tc>
          <w:tcPr>
            <w:tcW w:w="5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5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483,550</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36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493,800</w:t>
            </w:r>
          </w:p>
        </w:tc>
      </w:tr>
      <w:tr>
        <w:trPr>
          <w:trHeight w:val="21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280" w:type="dxa"/>
            <w:vAlign w:val="bottom"/>
          </w:tcPr>
          <w:p>
            <w:pPr>
              <w:spacing w:after="0"/>
              <w:rPr>
                <w:sz w:val="18"/>
                <w:szCs w:val="18"/>
                <w:color w:val="auto"/>
              </w:rPr>
            </w:pPr>
          </w:p>
        </w:tc>
        <w:tc>
          <w:tcPr>
            <w:tcW w:w="136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5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470,600</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40" w:type="dxa"/>
            <w:vAlign w:val="bottom"/>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360" w:type="dxa"/>
            <w:vAlign w:val="bottom"/>
          </w:tcPr>
          <w:p>
            <w:pPr>
              <w:spacing w:after="0"/>
              <w:rPr>
                <w:sz w:val="18"/>
                <w:szCs w:val="18"/>
                <w:color w:val="auto"/>
              </w:rPr>
            </w:pPr>
          </w:p>
        </w:tc>
        <w:tc>
          <w:tcPr>
            <w:tcW w:w="136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483,550</w:t>
            </w:r>
          </w:p>
        </w:tc>
      </w:tr>
      <w:tr>
        <w:trPr>
          <w:trHeight w:val="21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500,000</w:t>
            </w:r>
          </w:p>
        </w:tc>
        <w:tc>
          <w:tcPr>
            <w:tcW w:w="5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462,500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3"/>
              <w:spacing w:after="0"/>
              <w:rPr>
                <w:sz w:val="20"/>
                <w:szCs w:val="20"/>
                <w:color w:val="auto"/>
              </w:rPr>
            </w:pPr>
            <w:r>
              <w:rPr>
                <w:rFonts w:ascii="Times New Roman" w:cs="Times New Roman" w:eastAsia="Times New Roman" w:hAnsi="Times New Roman"/>
                <w:sz w:val="16"/>
                <w:szCs w:val="16"/>
                <w:color w:val="auto"/>
              </w:rPr>
              <w:t>500,000</w:t>
            </w: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474,050</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GOODWILL AND INTANGIBLE ASSETS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of the Company’s goodwill:</w:t>
      </w:r>
    </w:p>
    <w:p>
      <w:pPr>
        <w:spacing w:after="0" w:line="148" w:lineRule="exact"/>
        <w:rPr>
          <w:sz w:val="20"/>
          <w:szCs w:val="20"/>
          <w:color w:val="auto"/>
        </w:rPr>
      </w:pPr>
    </w:p>
    <w:tbl>
      <w:tblPr>
        <w:tblLayout w:type="fixed"/>
        <w:tblInd w:w="660" w:type="dxa"/>
        <w:tblCellMar>
          <w:top w:w="0" w:type="dxa"/>
          <w:left w:w="0" w:type="dxa"/>
          <w:bottom w:w="0" w:type="dxa"/>
          <w:right w:w="0" w:type="dxa"/>
        </w:tblCellMar>
      </w:tblPr>
      <w:tr>
        <w:trPr>
          <w:trHeight w:val="217"/>
        </w:trPr>
        <w:tc>
          <w:tcPr>
            <w:tcW w:w="358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RMS</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 xml:space="preserve">DSA </w:t>
            </w:r>
            <w:r>
              <w:rPr>
                <w:rFonts w:ascii="Times New Roman" w:cs="Times New Roman" w:eastAsia="Times New Roman" w:hAnsi="Times New Roman"/>
                <w:sz w:val="18"/>
                <w:szCs w:val="18"/>
                <w:b w:val="1"/>
                <w:bCs w:val="1"/>
                <w:color w:val="auto"/>
                <w:vertAlign w:val="superscript"/>
              </w:rPr>
              <w:t>(1)</w:t>
            </w:r>
          </w:p>
        </w:tc>
        <w:tc>
          <w:tcPr>
            <w:tcW w:w="2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 xml:space="preserve">Manufacturing </w:t>
            </w:r>
            <w:r>
              <w:rPr>
                <w:rFonts w:ascii="Times New Roman" w:cs="Times New Roman" w:eastAsia="Times New Roman" w:hAnsi="Times New Roman"/>
                <w:sz w:val="18"/>
                <w:szCs w:val="18"/>
                <w:b w:val="1"/>
                <w:bCs w:val="1"/>
                <w:color w:val="auto"/>
                <w:vertAlign w:val="superscript"/>
              </w:rPr>
              <w:t>(2)</w:t>
            </w: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60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190"/>
        </w:trPr>
        <w:tc>
          <w:tcPr>
            <w:tcW w:w="35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20" w:type="dxa"/>
            <w:vAlign w:val="bottom"/>
            <w:gridSpan w:val="5"/>
          </w:tcPr>
          <w:p>
            <w:pPr>
              <w:ind w:left="9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2"/>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27, 2025</w:t>
            </w:r>
          </w:p>
        </w:tc>
        <w:tc>
          <w:tcPr>
            <w:tcW w:w="1000" w:type="dxa"/>
            <w:vAlign w:val="bottom"/>
            <w:shd w:val="clear" w:color="auto" w:fill="CCEEFF"/>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510,844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1,678,518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574,891</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2,764,253</w:t>
            </w:r>
          </w:p>
        </w:tc>
      </w:tr>
      <w:tr>
        <w:trPr>
          <w:trHeight w:val="213"/>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Acquisitions</w:t>
            </w:r>
          </w:p>
        </w:tc>
        <w:tc>
          <w:tcPr>
            <w:tcW w:w="100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340,985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340,985</w:t>
            </w:r>
          </w:p>
        </w:tc>
      </w:tr>
      <w:tr>
        <w:trPr>
          <w:trHeight w:val="219"/>
        </w:trPr>
        <w:tc>
          <w:tcPr>
            <w:tcW w:w="3580" w:type="dxa"/>
            <w:vAlign w:val="bottom"/>
            <w:shd w:val="clear" w:color="auto" w:fill="CCEEFF"/>
          </w:tcPr>
          <w:p>
            <w:pPr>
              <w:ind w:left="120"/>
              <w:spacing w:after="0" w:line="219" w:lineRule="exact"/>
              <w:rPr>
                <w:sz w:val="20"/>
                <w:szCs w:val="20"/>
                <w:color w:val="auto"/>
              </w:rPr>
            </w:pPr>
            <w:r>
              <w:rPr>
                <w:rFonts w:ascii="Times New Roman" w:cs="Times New Roman" w:eastAsia="Times New Roman" w:hAnsi="Times New Roman"/>
                <w:sz w:val="16"/>
                <w:szCs w:val="16"/>
                <w:color w:val="auto"/>
              </w:rPr>
              <w:t xml:space="preserve">Divestitures </w:t>
            </w:r>
            <w:r>
              <w:rPr>
                <w:rFonts w:ascii="Times New Roman" w:cs="Times New Roman" w:eastAsia="Times New Roman" w:hAnsi="Times New Roman"/>
                <w:sz w:val="21"/>
                <w:szCs w:val="21"/>
                <w:color w:val="auto"/>
                <w:vertAlign w:val="superscript"/>
              </w:rPr>
              <w:t>(3)</w:t>
            </w:r>
          </w:p>
        </w:tc>
        <w:tc>
          <w:tcPr>
            <w:tcW w:w="1000" w:type="dxa"/>
            <w:vAlign w:val="bottom"/>
            <w:shd w:val="clear" w:color="auto" w:fill="CCEEFF"/>
          </w:tcPr>
          <w:p>
            <w:pPr>
              <w:spacing w:after="0"/>
              <w:rPr>
                <w:sz w:val="19"/>
                <w:szCs w:val="19"/>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(46,653)</w:t>
            </w:r>
          </w:p>
        </w:tc>
      </w:tr>
      <w:tr>
        <w:trPr>
          <w:trHeight w:val="213"/>
        </w:trPr>
        <w:tc>
          <w:tcPr>
            <w:tcW w:w="358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Foreign exchange</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(14,376)</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(4,434)</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(18,553)</w:t>
            </w:r>
          </w:p>
        </w:tc>
      </w:tr>
      <w:tr>
        <w:trPr>
          <w:trHeight w:val="233"/>
        </w:trPr>
        <w:tc>
          <w:tcPr>
            <w:tcW w:w="3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March 28, 2026</w:t>
            </w:r>
          </w:p>
        </w:tc>
        <w:tc>
          <w:tcPr>
            <w:tcW w:w="1000" w:type="dxa"/>
            <w:vAlign w:val="bottom"/>
          </w:tcPr>
          <w:p>
            <w:pPr>
              <w:jc w:val="right"/>
              <w:ind w:right="822"/>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511,101</w:t>
            </w:r>
          </w:p>
        </w:tc>
        <w:tc>
          <w:tcPr>
            <w:tcW w:w="10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1,958,474</w:t>
            </w:r>
          </w:p>
        </w:tc>
        <w:tc>
          <w:tcPr>
            <w:tcW w:w="100" w:type="dxa"/>
            <w:vAlign w:val="bottom"/>
          </w:tcPr>
          <w:p>
            <w:pPr>
              <w:spacing w:after="0"/>
              <w:rPr>
                <w:sz w:val="20"/>
                <w:szCs w:val="20"/>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570,457</w:t>
            </w:r>
          </w:p>
        </w:tc>
        <w:tc>
          <w:tcPr>
            <w:tcW w:w="100" w:type="dxa"/>
            <w:vAlign w:val="bottom"/>
          </w:tcPr>
          <w:p>
            <w:pPr>
              <w:spacing w:after="0"/>
              <w:rPr>
                <w:sz w:val="20"/>
                <w:szCs w:val="20"/>
                <w:color w:val="auto"/>
              </w:rPr>
            </w:pPr>
          </w:p>
        </w:tc>
        <w:tc>
          <w:tcPr>
            <w:tcW w:w="38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2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3,040,032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-158750</wp:posOffset>
            </wp:positionV>
            <wp:extent cx="6626225" cy="1631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26225" cy="163195"/>
                    </a:xfrm>
                    <a:prstGeom prst="rect">
                      <a:avLst/>
                    </a:prstGeom>
                    <a:noFill/>
                  </pic:spPr>
                </pic:pic>
              </a:graphicData>
            </a:graphic>
          </wp:anchor>
        </w:drawing>
      </w:r>
    </w:p>
    <w:p>
      <w:pPr>
        <w:ind w:left="820" w:hanging="146"/>
        <w:spacing w:after="0" w:line="214" w:lineRule="auto"/>
        <w:tabs>
          <w:tab w:leader="none" w:pos="82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DSA includes accumulated impairment losses of $1 billion, which were recognized in fiscal years 2008 and 2010.</w:t>
      </w:r>
    </w:p>
    <w:p>
      <w:pPr>
        <w:spacing w:after="0" w:line="30" w:lineRule="exact"/>
        <w:rPr>
          <w:rFonts w:ascii="Times New Roman" w:cs="Times New Roman" w:eastAsia="Times New Roman" w:hAnsi="Times New Roman"/>
          <w:sz w:val="18"/>
          <w:szCs w:val="18"/>
          <w:color w:val="auto"/>
          <w:vertAlign w:val="superscript"/>
        </w:rPr>
      </w:pPr>
    </w:p>
    <w:p>
      <w:pPr>
        <w:ind w:left="820" w:hanging="146"/>
        <w:spacing w:after="0" w:line="199" w:lineRule="auto"/>
        <w:tabs>
          <w:tab w:leader="none" w:pos="82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Manufacturing includes an accumulated impairment losses of $380 million, which was recognized in fiscal years 2024 and 2025.</w:t>
      </w:r>
    </w:p>
    <w:p>
      <w:pPr>
        <w:spacing w:after="0" w:line="30" w:lineRule="exact"/>
        <w:rPr>
          <w:rFonts w:ascii="Times New Roman" w:cs="Times New Roman" w:eastAsia="Times New Roman" w:hAnsi="Times New Roman"/>
          <w:sz w:val="18"/>
          <w:szCs w:val="18"/>
          <w:color w:val="auto"/>
          <w:vertAlign w:val="superscript"/>
        </w:rPr>
      </w:pPr>
    </w:p>
    <w:p>
      <w:pPr>
        <w:ind w:left="820" w:hanging="146"/>
        <w:spacing w:after="0" w:line="199" w:lineRule="auto"/>
        <w:tabs>
          <w:tab w:leader="none" w:pos="820" w:val="left"/>
        </w:tabs>
        <w:numPr>
          <w:ilvl w:val="0"/>
          <w:numId w:val="8"/>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DSA divestiture balance represents balances transferred to assets held for sale in connection with the European Discovery Divestiture.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2687955</wp:posOffset>
            </wp:positionH>
            <wp:positionV relativeFrom="paragraph">
              <wp:posOffset>-361315</wp:posOffset>
            </wp:positionV>
            <wp:extent cx="435483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354830" cy="8255"/>
                    </a:xfrm>
                    <a:prstGeom prst="rect">
                      <a:avLst/>
                    </a:prstGeom>
                    <a:noFill/>
                  </pic:spPr>
                </pic:pic>
              </a:graphicData>
            </a:graphic>
          </wp:anchor>
        </w:drawing>
      </w:r>
    </w:p>
    <w:p>
      <w:pPr>
        <w:spacing w:after="0" w:line="18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increase in goodwill during the three months ended March 28, 2026 is primarily related to the acquisition of the Cambodian NHP Supplier in the DSA reportable segment; partially offset by the European Discovery Divestiture in the DSA reportable segment and the effect of foreign exchange.</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Assets, Net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intangible assets, net by major class:</w:t>
      </w:r>
    </w:p>
    <w:p>
      <w:pPr>
        <w:spacing w:after="0" w:line="178"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27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58"/>
        </w:trPr>
        <w:tc>
          <w:tcPr>
            <w:tcW w:w="2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2"/>
          </w:tcPr>
          <w:p>
            <w:pPr>
              <w:jc w:val="center"/>
              <w:ind w:right="20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ind w:left="40"/>
              <w:spacing w:after="0" w:line="158"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r>
      <w:tr>
        <w:trPr>
          <w:trHeight w:val="204"/>
        </w:trPr>
        <w:tc>
          <w:tcPr>
            <w:tcW w:w="27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00" w:type="dxa"/>
            <w:vAlign w:val="bottom"/>
          </w:tcPr>
          <w:p>
            <w:pPr>
              <w:spacing w:after="0"/>
              <w:rPr>
                <w:sz w:val="17"/>
                <w:szCs w:val="17"/>
                <w:color w:val="auto"/>
              </w:rPr>
            </w:pPr>
          </w:p>
        </w:tc>
        <w:tc>
          <w:tcPr>
            <w:tcW w:w="11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10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Net</w:t>
            </w:r>
          </w:p>
        </w:tc>
        <w:tc>
          <w:tcPr>
            <w:tcW w:w="400" w:type="dxa"/>
            <w:vAlign w:val="bottom"/>
          </w:tcPr>
          <w:p>
            <w:pPr>
              <w:spacing w:after="0"/>
              <w:rPr>
                <w:sz w:val="17"/>
                <w:szCs w:val="17"/>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160" w:type="dxa"/>
            <w:vAlign w:val="bottom"/>
          </w:tcPr>
          <w:p>
            <w:pPr>
              <w:spacing w:after="0"/>
              <w:rPr>
                <w:sz w:val="17"/>
                <w:szCs w:val="17"/>
                <w:color w:val="auto"/>
              </w:rPr>
            </w:pP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300" w:type="dxa"/>
            <w:vAlign w:val="bottom"/>
          </w:tcPr>
          <w:p>
            <w:pPr>
              <w:spacing w:after="0"/>
              <w:rPr>
                <w:sz w:val="17"/>
                <w:szCs w:val="17"/>
                <w:color w:val="auto"/>
              </w:rPr>
            </w:pPr>
          </w:p>
        </w:tc>
        <w:tc>
          <w:tcPr>
            <w:tcW w:w="900" w:type="dxa"/>
            <w:vAlign w:val="bottom"/>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Net</w:t>
            </w:r>
          </w:p>
        </w:tc>
      </w:tr>
      <w:tr>
        <w:trPr>
          <w:trHeight w:val="37"/>
        </w:trPr>
        <w:tc>
          <w:tcPr>
            <w:tcW w:w="27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186"/>
        </w:trPr>
        <w:tc>
          <w:tcPr>
            <w:tcW w:w="2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7"/>
        </w:trPr>
        <w:tc>
          <w:tcPr>
            <w:tcW w:w="27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4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Client relationships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896,978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(668,985)</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227,993</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1,325,779</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(1,016,198)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309,581</w:t>
            </w:r>
          </w:p>
        </w:tc>
      </w:tr>
      <w:tr>
        <w:trPr>
          <w:trHeight w:val="23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Technology</w:t>
            </w:r>
          </w:p>
        </w:tc>
        <w:tc>
          <w:tcPr>
            <w:tcW w:w="2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116,729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(106,606)</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10,123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142,084</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(124,172)</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17,912</w:t>
            </w:r>
          </w:p>
        </w:tc>
      </w:tr>
      <w:tr>
        <w:trPr>
          <w:trHeight w:val="253"/>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Trademarks and trade names</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4,724</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(3,288)</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1,436</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8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8,882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(6,869)</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2,013</w:t>
            </w:r>
          </w:p>
        </w:tc>
      </w:tr>
      <w:tr>
        <w:trPr>
          <w:trHeight w:val="236"/>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18,398</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(8,961)</w:t>
            </w:r>
          </w:p>
        </w:tc>
        <w:tc>
          <w:tcPr>
            <w:tcW w:w="8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9,437</w:t>
            </w:r>
          </w:p>
        </w:tc>
        <w:tc>
          <w:tcPr>
            <w:tcW w:w="10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21,052</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(10,563)</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10,489</w:t>
            </w:r>
          </w:p>
        </w:tc>
      </w:tr>
      <w:tr>
        <w:trPr>
          <w:trHeight w:val="268"/>
        </w:trPr>
        <w:tc>
          <w:tcPr>
            <w:tcW w:w="27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Intangible assets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1,036,829</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(787,840)</w:t>
            </w:r>
          </w:p>
        </w:tc>
        <w:tc>
          <w:tcPr>
            <w:tcW w:w="8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248,989</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1,497,797</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(1,157,802)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339,995</w:t>
            </w:r>
          </w:p>
        </w:tc>
      </w:tr>
      <w:tr>
        <w:trPr>
          <w:trHeight w:val="20"/>
        </w:trPr>
        <w:tc>
          <w:tcPr>
            <w:tcW w:w="27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decrease in intangible assets for the three months ended March 28, 2026 related primarily to the reclassification of certain intangible assets to assets held for sale included within Other assets associated with the European Discovery Divestiture and CDMO and Cell Solutions Divestiture, and to a lesser extent normal amortization over the useful lives.</w:t>
      </w:r>
    </w:p>
    <w:p>
      <w:pPr>
        <w:spacing w:after="0" w:line="68"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Amortization expense of definite-lived intangible assets for three months ended March 28, 2026 and March 29, 2025 was $15.3 million and $65.3 million, respectively. Amortization expense for the three months ended March 29, 2025 includes $35.5 million of accelerated amortization expense as a result of a decrease in the remaining useful life of certain CDMO client relationships due to a loss of key customers in 2025.</w:t>
      </w:r>
    </w:p>
    <w:p>
      <w:pPr>
        <w:spacing w:after="0" w:line="200" w:lineRule="exact"/>
        <w:rPr>
          <w:sz w:val="20"/>
          <w:szCs w:val="20"/>
          <w:color w:val="auto"/>
        </w:rPr>
      </w:pPr>
    </w:p>
    <w:p>
      <w:pPr>
        <w:spacing w:after="0" w:line="3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1" w:name="page22"/>
    <w:bookmarkEnd w:id="2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DEBT AND OTHER FINANCING ARRANGEMENTS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net and finance leases consists of the following:</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Pr>
          <w:p>
            <w:pPr>
              <w:spacing w:after="0"/>
              <w:rPr>
                <w:sz w:val="16"/>
                <w:szCs w:val="16"/>
                <w:color w:val="auto"/>
              </w:rPr>
            </w:pPr>
          </w:p>
        </w:tc>
        <w:tc>
          <w:tcPr>
            <w:tcW w:w="1500" w:type="dxa"/>
            <w:vAlign w:val="bottom"/>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37"/>
        </w:trPr>
        <w:tc>
          <w:tcPr>
            <w:tcW w:w="7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4"/>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Revolving facility</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1,165,073</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616,503</w:t>
            </w:r>
          </w:p>
        </w:tc>
      </w:tr>
      <w:tr>
        <w:trPr>
          <w:trHeight w:val="24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4.25% Senior Notes due 2028</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3.75% Senior Notes due 2029</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0"/>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4.00% Senior Notes due 2031</w:t>
            </w:r>
          </w:p>
        </w:tc>
        <w:tc>
          <w:tcPr>
            <w:tcW w:w="2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debt</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7,842</w:t>
            </w:r>
          </w:p>
        </w:tc>
      </w:tr>
      <w:tr>
        <w:trPr>
          <w:trHeight w:val="213"/>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Finance leases</w:t>
            </w:r>
          </w:p>
        </w:tc>
        <w:tc>
          <w:tcPr>
            <w:tcW w:w="2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10,629</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27,876</w:t>
            </w:r>
          </w:p>
        </w:tc>
      </w:tr>
      <w:tr>
        <w:trPr>
          <w:trHeight w:val="239"/>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 debt and finance leases</w:t>
            </w: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2,683,037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2,152,221</w:t>
            </w:r>
          </w:p>
        </w:tc>
      </w:tr>
      <w:tr>
        <w:trPr>
          <w:trHeight w:val="21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2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46"/>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6,699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w:t>
            </w:r>
          </w:p>
        </w:tc>
      </w:tr>
      <w:tr>
        <w:trPr>
          <w:trHeight w:val="240"/>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Current portion of finance leases</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1,587</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3,228</w:t>
            </w:r>
          </w:p>
        </w:tc>
      </w:tr>
      <w:tr>
        <w:trPr>
          <w:trHeight w:val="223"/>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long-term debt and finance leases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8,286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3,394</w:t>
            </w:r>
          </w:p>
        </w:tc>
      </w:tr>
      <w:tr>
        <w:trPr>
          <w:trHeight w:val="230"/>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and finance leases</w:t>
            </w:r>
          </w:p>
        </w:tc>
        <w:tc>
          <w:tcPr>
            <w:tcW w:w="22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2,674,751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2,148,827</w:t>
            </w:r>
          </w:p>
        </w:tc>
      </w:tr>
      <w:tr>
        <w:trPr>
          <w:trHeight w:val="22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Debt discount and debt issuance costs</w:t>
            </w:r>
          </w:p>
        </w:tc>
        <w:tc>
          <w:tcPr>
            <w:tcW w:w="22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(12,467)</w:t>
            </w:r>
          </w:p>
        </w:tc>
      </w:tr>
      <w:tr>
        <w:trPr>
          <w:trHeight w:val="212"/>
        </w:trPr>
        <w:tc>
          <w:tcPr>
            <w:tcW w:w="70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Long-term debt, net and finance leases</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2,663,133</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2,136,360</w:t>
            </w:r>
          </w:p>
        </w:tc>
      </w:tr>
      <w:tr>
        <w:trPr>
          <w:trHeight w:val="20"/>
        </w:trPr>
        <w:tc>
          <w:tcPr>
            <w:tcW w:w="7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980"/>
        <w:spacing w:after="0" w:line="375" w:lineRule="auto"/>
        <w:rPr>
          <w:sz w:val="20"/>
          <w:szCs w:val="20"/>
          <w:color w:val="auto"/>
        </w:rPr>
      </w:pPr>
      <w:r>
        <w:rPr>
          <w:rFonts w:ascii="Times New Roman" w:cs="Times New Roman" w:eastAsia="Times New Roman" w:hAnsi="Times New Roman"/>
          <w:sz w:val="18"/>
          <w:szCs w:val="18"/>
          <w:color w:val="auto"/>
        </w:rPr>
        <w:t xml:space="preserve">As of March 28, 2026 and December 27, 2025, the weighted average interest rate on the Company’s debt was 3.95% and 4.05%, respectively. </w:t>
      </w:r>
      <w:r>
        <w:rPr>
          <w:rFonts w:ascii="Times New Roman" w:cs="Times New Roman" w:eastAsia="Times New Roman" w:hAnsi="Times New Roman"/>
          <w:sz w:val="18"/>
          <w:szCs w:val="18"/>
          <w:b w:val="1"/>
          <w:bCs w:val="1"/>
          <w:i w:val="1"/>
          <w:iCs w:val="1"/>
          <w:color w:val="auto"/>
        </w:rPr>
        <w:t>Revolving Credit Facility</w:t>
      </w:r>
    </w:p>
    <w:p>
      <w:pPr>
        <w:spacing w:after="0" w:line="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has a revolving credit facility “Credit Facility” that provides for up to $2.0 billion of multi-currency revolving credit. The Credit Facility has a maturity date of December 2029, with no required scheduled payment before that date. The interest rates applicable to the revolving facility are equal to</w:t>
      </w:r>
    </w:p>
    <w:p>
      <w:pPr>
        <w:ind w:right="80" w:firstLine="8"/>
        <w:spacing w:after="0" w:line="253" w:lineRule="auto"/>
        <w:tabs>
          <w:tab w:leader="none" w:pos="2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revolving loans denominated in U.S. dollars, at the Company’s option, either the base rate (which is the higher of (1) the prime rate, (2) the federal funds rate plus 0.50%, or (3) the one-month adjusted SOFR rate plus 1.0%) or the adjusted SOFR rate, (B) for revolving loans denominated in euros, the adjusted EURIBOR rate and (C) for revolving loans denominated in sterling, the daily simple SONIA rate, in each case, plus an interest rate margin based upon the Company’s leverage ratio.</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Letters of Credit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28, 2026 and December 27, 2025, the Company had $22.0 million in outstanding letters of credit.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22" w:name="page23"/>
    <w:bookmarkEnd w:id="22"/>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13. EQUITY AND NONCONTROLLING INTERESTS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the numerator and denominator in the computations of basic and diluted earnings (loss) per share:</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9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7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40" w:type="dxa"/>
            <w:vAlign w:val="bottom"/>
            <w:tcBorders>
              <w:bottom w:val="single" w:sz="8" w:color="auto"/>
            </w:tcBorders>
            <w:gridSpan w:val="2"/>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440" w:type="dxa"/>
            <w:vAlign w:val="bottom"/>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70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200" w:type="dxa"/>
            <w:vAlign w:val="bottom"/>
            <w:tcBorders>
              <w:bottom w:val="single" w:sz="8" w:color="auto"/>
            </w:tcBorders>
            <w:gridSpan w:val="4"/>
          </w:tcPr>
          <w:p>
            <w:pPr>
              <w:spacing w:after="0"/>
              <w:rPr>
                <w:sz w:val="3"/>
                <w:szCs w:val="3"/>
                <w:color w:val="auto"/>
              </w:rPr>
            </w:pPr>
          </w:p>
        </w:tc>
      </w:t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12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09"/>
        </w:trPr>
        <w:tc>
          <w:tcPr>
            <w:tcW w:w="7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spacing w:after="0"/>
              <w:rPr>
                <w:sz w:val="18"/>
                <w:szCs w:val="18"/>
                <w:color w:val="auto"/>
              </w:rPr>
            </w:pPr>
          </w:p>
        </w:tc>
        <w:tc>
          <w:tcPr>
            <w:tcW w:w="1440" w:type="dxa"/>
            <w:vAlign w:val="bottom"/>
            <w:tcBorders>
              <w:bottom w:val="single" w:sz="8" w:color="CCEEFF"/>
            </w:tcBorders>
            <w:shd w:val="clear" w:color="auto" w:fill="CCEEFF"/>
          </w:tcPr>
          <w:p>
            <w:pPr>
              <w:spacing w:after="0"/>
              <w:rPr>
                <w:sz w:val="18"/>
                <w:szCs w:val="18"/>
                <w:color w:val="auto"/>
              </w:rPr>
            </w:pPr>
          </w:p>
        </w:tc>
      </w:t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(14,802)</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25,878</w:t>
            </w:r>
          </w:p>
        </w:tc>
      </w:tr>
      <w:tr>
        <w:trPr>
          <w:trHeight w:val="246"/>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r>
      <w:tr>
        <w:trPr>
          <w:trHeight w:val="243"/>
        </w:trPr>
        <w:tc>
          <w:tcPr>
            <w:tcW w:w="702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Net income (loss) attributable to common shareholders</w:t>
            </w: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(14,843)</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25,469</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237"/>
        </w:trPr>
        <w:tc>
          <w:tcPr>
            <w:tcW w:w="70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r>
      <w:tr>
        <w:trPr>
          <w:trHeight w:val="193"/>
        </w:trPr>
        <w:tc>
          <w:tcPr>
            <w:tcW w:w="70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Denominator:</w:t>
            </w: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40" w:type="dxa"/>
            <w:vAlign w:val="bottom"/>
          </w:tcPr>
          <w:p>
            <w:pPr>
              <w:spacing w:after="0"/>
              <w:rPr>
                <w:sz w:val="16"/>
                <w:szCs w:val="16"/>
                <w:color w:val="auto"/>
              </w:rPr>
            </w:pPr>
          </w:p>
        </w:tc>
      </w:tr>
      <w:tr>
        <w:trPr>
          <w:trHeight w:val="37"/>
        </w:trPr>
        <w:tc>
          <w:tcPr>
            <w:tcW w:w="7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 Basic</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48,951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50,677</w:t>
            </w:r>
          </w:p>
        </w:tc>
      </w:t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Effect of dilutive securities:</w:t>
            </w: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r>
      <w:tr>
        <w:trPr>
          <w:trHeight w:val="246"/>
        </w:trPr>
        <w:tc>
          <w:tcPr>
            <w:tcW w:w="7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 options, restricted stock units and performance share units</w:t>
            </w:r>
          </w:p>
        </w:tc>
        <w:tc>
          <w:tcPr>
            <w:tcW w:w="220" w:type="dxa"/>
            <w:vAlign w:val="bottom"/>
            <w:shd w:val="clear" w:color="auto" w:fill="CCEEFF"/>
          </w:tcPr>
          <w:p>
            <w:pPr>
              <w:spacing w:after="0"/>
              <w:rPr>
                <w:sz w:val="21"/>
                <w:szCs w:val="21"/>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176</w:t>
            </w:r>
          </w:p>
        </w:tc>
      </w:tr>
      <w:tr>
        <w:trPr>
          <w:trHeight w:val="24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shares outstanding - Diluted</w:t>
            </w:r>
          </w:p>
        </w:tc>
        <w:tc>
          <w:tcPr>
            <w:tcW w:w="2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48,951</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50,853</w:t>
            </w:r>
          </w:p>
        </w:tc>
      </w:tr>
      <w:tr>
        <w:trPr>
          <w:trHeight w:val="20"/>
        </w:trPr>
        <w:tc>
          <w:tcPr>
            <w:tcW w:w="70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r>
        <w:trPr>
          <w:trHeight w:val="75"/>
        </w:trPr>
        <w:tc>
          <w:tcPr>
            <w:tcW w:w="702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440" w:type="dxa"/>
            <w:vAlign w:val="bottom"/>
            <w:shd w:val="clear" w:color="auto" w:fill="CCEEFF"/>
          </w:tcPr>
          <w:p>
            <w:pPr>
              <w:spacing w:after="0"/>
              <w:rPr>
                <w:sz w:val="6"/>
                <w:szCs w:val="6"/>
                <w:color w:val="auto"/>
              </w:rPr>
            </w:pPr>
          </w:p>
        </w:tc>
      </w:tr>
      <w:tr>
        <w:trPr>
          <w:trHeight w:val="294"/>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Anti-dilutive common stock equivalents </w:t>
            </w:r>
            <w:r>
              <w:rPr>
                <w:rFonts w:ascii="Times New Roman" w:cs="Times New Roman" w:eastAsia="Times New Roman" w:hAnsi="Times New Roman"/>
                <w:sz w:val="21"/>
                <w:szCs w:val="21"/>
                <w:color w:val="auto"/>
                <w:vertAlign w:val="superscript"/>
              </w:rPr>
              <w:t>(1)(2)</w:t>
            </w:r>
          </w:p>
        </w:tc>
        <w:tc>
          <w:tcPr>
            <w:tcW w:w="220" w:type="dxa"/>
            <w:vAlign w:val="bottom"/>
          </w:tcPr>
          <w:p>
            <w:pPr>
              <w:spacing w:after="0"/>
              <w:rPr>
                <w:sz w:val="24"/>
                <w:szCs w:val="24"/>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615</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958</w:t>
            </w:r>
          </w:p>
        </w:tc>
      </w:tr>
    </w:tbl>
    <w:p>
      <w:pPr>
        <w:spacing w:after="0" w:line="61" w:lineRule="exact"/>
        <w:rPr>
          <w:sz w:val="20"/>
          <w:szCs w:val="20"/>
          <w:color w:val="auto"/>
        </w:rPr>
      </w:pPr>
    </w:p>
    <w:p>
      <w:pPr>
        <w:ind w:left="800" w:hanging="126"/>
        <w:spacing w:after="0"/>
        <w:tabs>
          <w:tab w:leader="none" w:pos="800" w:val="left"/>
        </w:tabs>
        <w:numPr>
          <w:ilvl w:val="0"/>
          <w:numId w:val="10"/>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2"/>
          <w:szCs w:val="12"/>
          <w:color w:val="auto"/>
        </w:rPr>
        <w:t>Anti-dilutive common stock equivalents represent amounts outstanding related to employee stock options, RSUs and PSUs for all periods presented.</w:t>
      </w:r>
    </w:p>
    <w:p>
      <w:pPr>
        <w:spacing w:after="0" w:line="59" w:lineRule="exact"/>
        <w:rPr>
          <w:rFonts w:ascii="Times New Roman" w:cs="Times New Roman" w:eastAsia="Times New Roman" w:hAnsi="Times New Roman"/>
          <w:sz w:val="16"/>
          <w:szCs w:val="16"/>
          <w:color w:val="auto"/>
          <w:vertAlign w:val="superscript"/>
        </w:rPr>
      </w:pPr>
    </w:p>
    <w:p>
      <w:pPr>
        <w:ind w:left="840" w:right="220" w:hanging="166"/>
        <w:spacing w:after="0" w:line="248" w:lineRule="auto"/>
        <w:tabs>
          <w:tab w:leader="none" w:pos="81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These common stock equivalents were outstanding for the periods presented, but were not included in the computation of diluted EPS for those periods because their inclusion would have had an anti-dilutive effect.</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Treasury Shares</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On October 29, 2025, the Company’s Board of Directors approved a stock repurchase program of $1.0 billion. During the three months ended March 28, 2026, the Company repurchased 1.1 million shares of common stock for $200.0 million under the stock repurchase program. As of March 28, 2026, the Company had $800.0 million remaining on the authorized stock repurchase program.</w:t>
      </w:r>
    </w:p>
    <w:p>
      <w:pPr>
        <w:spacing w:after="0" w:line="68"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Company’s stock-based compensation plans permit the netting of common stock upon vesting of RSUs and PSUs in order to satisfy individual statutory tax withholding requirements. The Company acquired less than 0.1 million shares during the three months ended March 28, 2026 and March 29, 2025, for $8.3 million and $3.1 million, respectively, from such netting.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to each component of accumulated other comprehensive income (loss), net of income taxes, are as follows: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75"/>
        </w:trPr>
        <w:tc>
          <w:tcPr>
            <w:tcW w:w="6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Pension and Other</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76"/>
        </w:trPr>
        <w:tc>
          <w:tcPr>
            <w:tcW w:w="6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120" w:type="dxa"/>
            <w:vAlign w:val="bottom"/>
          </w:tcPr>
          <w:p>
            <w:pPr>
              <w:spacing w:after="0"/>
              <w:rPr>
                <w:sz w:val="15"/>
                <w:szCs w:val="15"/>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190"/>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and Other</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Benefit Plans</w:t>
            </w:r>
          </w:p>
        </w:tc>
        <w:tc>
          <w:tcPr>
            <w:tcW w:w="320" w:type="dxa"/>
            <w:vAlign w:val="bottom"/>
          </w:tcPr>
          <w:p>
            <w:pPr>
              <w:spacing w:after="0"/>
              <w:rPr>
                <w:sz w:val="16"/>
                <w:szCs w:val="16"/>
                <w:color w:val="auto"/>
              </w:rPr>
            </w:pPr>
          </w:p>
        </w:tc>
        <w:tc>
          <w:tcPr>
            <w:tcW w:w="1020" w:type="dxa"/>
            <w:vAlign w:val="bottom"/>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37"/>
        </w:trPr>
        <w:tc>
          <w:tcPr>
            <w:tcW w:w="62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186"/>
        </w:trPr>
        <w:tc>
          <w:tcPr>
            <w:tcW w:w="6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37"/>
        </w:trPr>
        <w:tc>
          <w:tcPr>
            <w:tcW w:w="6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43"/>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27,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(120,167)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(51,616)</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(171,783)</w:t>
            </w:r>
          </w:p>
        </w:tc>
      </w:tr>
      <w:tr>
        <w:trPr>
          <w:trHeight w:val="237"/>
        </w:trPr>
        <w:tc>
          <w:tcPr>
            <w:tcW w:w="62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(24,746)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894</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(23,852)</w:t>
            </w:r>
          </w:p>
        </w:tc>
      </w:tr>
      <w:tr>
        <w:trPr>
          <w:trHeight w:val="243"/>
        </w:trPr>
        <w:tc>
          <w:tcPr>
            <w:tcW w:w="6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current period other comprehensive income (loss)</w:t>
            </w: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(24,746)</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894</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(23,852)</w:t>
            </w:r>
          </w:p>
        </w:tc>
      </w:tr>
      <w:tr>
        <w:trPr>
          <w:trHeight w:val="236"/>
        </w:trPr>
        <w:tc>
          <w:tcPr>
            <w:tcW w:w="62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(benefit) expense</w:t>
            </w: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(4,817)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224</w:t>
            </w:r>
          </w:p>
        </w:tc>
        <w:tc>
          <w:tcPr>
            <w:tcW w:w="8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(4,593)</w:t>
            </w:r>
          </w:p>
        </w:tc>
      </w:tr>
      <w:tr>
        <w:trPr>
          <w:trHeight w:val="268"/>
        </w:trPr>
        <w:tc>
          <w:tcPr>
            <w:tcW w:w="6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March 28,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(140,096)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(50,946)</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(191,042)</w:t>
            </w:r>
          </w:p>
        </w:tc>
      </w:tr>
      <w:tr>
        <w:trPr>
          <w:trHeight w:val="20"/>
        </w:trPr>
        <w:tc>
          <w:tcPr>
            <w:tcW w:w="6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Noncontrolling Interests</w:t>
      </w:r>
    </w:p>
    <w:p>
      <w:pPr>
        <w:spacing w:after="0" w:line="12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Company has held and continues to hold redeemable noncontrolling interests. Since the Company has the right to purchase, and the noncontrolling interest holders have the right to require the Company to purchase the remaining interest, which represents a derivative embedded within the equity instrument, the noncontrolling interest is classified in the mezzanine section of the unaudited condensed consolidated balance sheets, which is presented above the equity section and below liabilities.</w:t>
      </w:r>
    </w:p>
    <w:p>
      <w:pPr>
        <w:sectPr>
          <w:pgSz w:w="11900" w:h="16838" w:orient="portrait"/>
          <w:cols w:equalWidth="0" w:num="1">
            <w:col w:w="11100"/>
          </w:cols>
          <w:pgMar w:left="320" w:top="117"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17" w:right="479" w:bottom="1440" w:gutter="0" w:footer="0" w:header="0"/>
          <w:type w:val="continuous"/>
        </w:sectPr>
      </w:pPr>
    </w:p>
    <w:bookmarkStart w:id="23" w:name="page24"/>
    <w:bookmarkEnd w:id="23"/>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redeemable noncontrolling interests are measured at the greater of (i) the redemption amount or (ii) the historical value resulting from the original acquisition date fair value, increased or decreased for the noncontrolling interest’s share of net income (loss), equity capital contributions and distributions. The fair value of the redeemable noncontrolling interest is determined using the income approach, with key assumptions being projected cash flows and discount rates based on market participant’s weighted average cost of capital. To the extent redemption value exceeds carrying value, adjustments are recorded to additional paid-in capital, with any cumulative excess of redemption value over fair value recorded in retained earnings, which impacts net income (loss) attributable to common shareholders used in the calculation of earnings (loss) per common share.</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Noveprim</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holds a 90% ownership interest in Noveprim. The Company has the right to purchase, and the noncontrolling interest holders have the right to sell, the remaining 10% equity interest at a fixed redemption value that ranges from $47.0 million to $54.0 million depending on when exercised. The Company has the call option right to purchase the remaining 10% equity up until one month after the sixth anniversary of closing the 41% equity stake (December 2029). On the first anniversary of the expiration of the call option (December 2030), a 12-month put option will be triggered giving the seller the right to require the Company to acquire the remaining shares of the seller for $54.0 million. The redemption value is accreted to the put purchase price of $54.0 million using the interest method through December 2030. As of March 28, 2026, the redemption value of $41.9 million exceeded the carrying value, resulting in an adjustment to additional paid in capital of $3.5 million for the three months ended March 28, 2026. As of March 29, 2025, the redemption value of $41.7 million exceeded the carrying value, resulting in an adjustment to additional paid in capital of $1.3 million.</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Nonredeemable Noncontrolling Interest</w:t>
      </w:r>
    </w:p>
    <w:p>
      <w:pPr>
        <w:spacing w:after="0" w:line="12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The Company has an investment in an entity whose financial results are consolidated in the Company’s unaudited condensed consolidated financial statements, as it has the ability to exercise control over this entity. The interest of the noncontrolling party in this entity has been recorded as nonredeemable noncontrolling interest within Equity in the accompanying unaudited condensed consolidated balance sheets. The activity within the nonredeemable noncontrolling interest was not material during the three months ended March 28, 2026 and March 29, 2025.</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INCOME TAXES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effective tax rates for the three months ended March 28, 2026 and March 29, 2025 were 50.6% and 28.1%, respectively.</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tcPr>
          <w:p>
            <w:pPr>
              <w:jc w:val="right"/>
              <w:ind w:right="343"/>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80" w:type="dxa"/>
            <w:vAlign w:val="bottom"/>
          </w:tcPr>
          <w:p>
            <w:pPr>
              <w:spacing w:after="0"/>
              <w:rPr>
                <w:sz w:val="16"/>
                <w:szCs w:val="16"/>
                <w:color w:val="auto"/>
              </w:rPr>
            </w:pPr>
          </w:p>
        </w:tc>
        <w:tc>
          <w:tcPr>
            <w:tcW w:w="1420" w:type="dxa"/>
            <w:vAlign w:val="bottom"/>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6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r>
      <w:tr>
        <w:trPr>
          <w:trHeight w:val="190"/>
        </w:trPr>
        <w:tc>
          <w:tcPr>
            <w:tcW w:w="6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3"/>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r>
      <w:tr>
        <w:trPr>
          <w:trHeight w:val="24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ind w:right="143"/>
              <w:spacing w:after="0"/>
              <w:rPr>
                <w:sz w:val="20"/>
                <w:szCs w:val="20"/>
                <w:color w:val="auto"/>
              </w:rPr>
            </w:pPr>
            <w:r>
              <w:rPr>
                <w:rFonts w:ascii="Times New Roman" w:cs="Times New Roman" w:eastAsia="Times New Roman" w:hAnsi="Times New Roman"/>
                <w:sz w:val="16"/>
                <w:szCs w:val="16"/>
                <w:color w:val="auto"/>
              </w:rPr>
              <w:t>(29,942)</w:t>
            </w:r>
          </w:p>
        </w:tc>
        <w:tc>
          <w:tcPr>
            <w:tcW w:w="2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35,978</w:t>
            </w:r>
          </w:p>
        </w:tc>
      </w:tr>
      <w:tr>
        <w:trPr>
          <w:trHeight w:val="240"/>
        </w:trPr>
        <w:tc>
          <w:tcPr>
            <w:tcW w:w="6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220" w:type="dxa"/>
            <w:vAlign w:val="bottom"/>
          </w:tcPr>
          <w:p>
            <w:pPr>
              <w:spacing w:after="0"/>
              <w:rPr>
                <w:sz w:val="20"/>
                <w:szCs w:val="20"/>
                <w:color w:val="auto"/>
              </w:rPr>
            </w:pPr>
          </w:p>
        </w:tc>
        <w:tc>
          <w:tcPr>
            <w:tcW w:w="1500" w:type="dxa"/>
            <w:vAlign w:val="bottom"/>
          </w:tcPr>
          <w:p>
            <w:pPr>
              <w:jc w:val="right"/>
              <w:ind w:right="143"/>
              <w:spacing w:after="0"/>
              <w:rPr>
                <w:sz w:val="20"/>
                <w:szCs w:val="20"/>
                <w:color w:val="auto"/>
              </w:rPr>
            </w:pPr>
            <w:r>
              <w:rPr>
                <w:rFonts w:ascii="Times New Roman" w:cs="Times New Roman" w:eastAsia="Times New Roman" w:hAnsi="Times New Roman"/>
                <w:sz w:val="16"/>
                <w:szCs w:val="16"/>
                <w:color w:val="auto"/>
              </w:rPr>
              <w:t>(15,140)</w:t>
            </w:r>
          </w:p>
        </w:tc>
        <w:tc>
          <w:tcPr>
            <w:tcW w:w="280" w:type="dxa"/>
            <w:vAlign w:val="bottom"/>
          </w:tcPr>
          <w:p>
            <w:pPr>
              <w:spacing w:after="0"/>
              <w:rPr>
                <w:sz w:val="20"/>
                <w:szCs w:val="20"/>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10,100</w:t>
            </w:r>
          </w:p>
        </w:tc>
      </w:tr>
      <w:tr>
        <w:trPr>
          <w:trHeight w:val="219"/>
        </w:trPr>
        <w:tc>
          <w:tcPr>
            <w:tcW w:w="6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22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50.6 %</w:t>
            </w:r>
          </w:p>
        </w:tc>
        <w:tc>
          <w:tcPr>
            <w:tcW w:w="2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28.1 %</w:t>
            </w:r>
          </w:p>
        </w:tc>
      </w:tr>
    </w:tbl>
    <w:p>
      <w:pPr>
        <w:spacing w:after="0" w:line="171" w:lineRule="exact"/>
        <w:rPr>
          <w:sz w:val="20"/>
          <w:szCs w:val="20"/>
          <w:color w:val="auto"/>
        </w:rPr>
      </w:pPr>
    </w:p>
    <w:p>
      <w:pPr>
        <w:ind w:right="340"/>
        <w:spacing w:after="0" w:line="250" w:lineRule="auto"/>
        <w:rPr>
          <w:sz w:val="20"/>
          <w:szCs w:val="20"/>
          <w:color w:val="auto"/>
        </w:rPr>
      </w:pPr>
      <w:r>
        <w:rPr>
          <w:rFonts w:ascii="Times New Roman" w:cs="Times New Roman" w:eastAsia="Times New Roman" w:hAnsi="Times New Roman"/>
          <w:sz w:val="18"/>
          <w:szCs w:val="18"/>
          <w:color w:val="auto"/>
        </w:rPr>
        <w:t>The difference in the effective tax rate for the three months ended March 28, 2026 compared to the corresponding prior year period was primarily attributable to the tax effects of the $118.0 million loss on assets held for sale in connection with the CDMO and Cell Solutions Divestiture, as well as accrued interest relating to acquired uncertain tax positions during the three months ended March 28, 2026.</w:t>
      </w:r>
    </w:p>
    <w:p>
      <w:pPr>
        <w:spacing w:after="0" w:line="6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28, 2026, the Company’s unrecognized tax benefits increased by $131.6 million to $158.1 million, primarily as a result of acquisitions. For the three months ended March 28, 2026, the amount of unrecognized income tax benefits that would impact the effective tax rate increased by $131.4 million to $153.2 million for the same reasons discussed above. The accrued interest and penalties on unrecognized tax benefits were $30.2 million and $32.7 million, respectively, as of March 28, 2026.</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prepaid and accrued tax positions are as follows:</w:t>
      </w:r>
    </w:p>
    <w:p>
      <w:pPr>
        <w:spacing w:after="0" w:line="139"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60" w:type="dxa"/>
            <w:vAlign w:val="bottom"/>
            <w:vMerge w:val="restart"/>
          </w:tcPr>
          <w:p>
            <w:pPr>
              <w:jc w:val="right"/>
              <w:ind w:right="244"/>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3"/>
                <w:szCs w:val="13"/>
                <w:color w:val="auto"/>
              </w:rPr>
            </w:pPr>
          </w:p>
        </w:tc>
        <w:tc>
          <w:tcPr>
            <w:tcW w:w="150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27, 2025</w:t>
            </w: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Affected Line Item in the Unaudited Condensed</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Consolidated Balance Sheets</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3000" w:type="dxa"/>
            <w:vAlign w:val="bottom"/>
            <w:tcBorders>
              <w:top w:val="single" w:sz="8" w:color="auto"/>
            </w:tcBorders>
            <w:gridSpan w:val="3"/>
          </w:tcPr>
          <w:p>
            <w:pPr>
              <w:jc w:val="right"/>
              <w:ind w:right="1102"/>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80" w:type="dxa"/>
            <w:vAlign w:val="bottom"/>
          </w:tcPr>
          <w:p>
            <w:pPr>
              <w:spacing w:after="0"/>
              <w:rPr>
                <w:sz w:val="16"/>
                <w:szCs w:val="16"/>
                <w:color w:val="auto"/>
              </w:rPr>
            </w:pPr>
          </w:p>
        </w:tc>
        <w:tc>
          <w:tcPr>
            <w:tcW w:w="37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4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Prepaid income tax</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125,244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119,903</w:t>
            </w:r>
          </w:p>
        </w:tc>
        <w:tc>
          <w:tcPr>
            <w:tcW w:w="80" w:type="dxa"/>
            <w:vAlign w:val="bottom"/>
            <w:shd w:val="clear" w:color="auto" w:fill="CCEEFF"/>
          </w:tcPr>
          <w:p>
            <w:pPr>
              <w:spacing w:after="0"/>
              <w:rPr>
                <w:sz w:val="21"/>
                <w:szCs w:val="21"/>
                <w:color w:val="auto"/>
              </w:rPr>
            </w:pPr>
          </w:p>
        </w:tc>
        <w:tc>
          <w:tcPr>
            <w:tcW w:w="3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current assets</w:t>
            </w:r>
          </w:p>
        </w:tc>
        <w:tc>
          <w:tcPr>
            <w:tcW w:w="0" w:type="dxa"/>
            <w:vAlign w:val="bottom"/>
          </w:tcPr>
          <w:p>
            <w:pPr>
              <w:spacing w:after="0"/>
              <w:rPr>
                <w:sz w:val="1"/>
                <w:szCs w:val="1"/>
                <w:color w:val="auto"/>
              </w:rPr>
            </w:pPr>
          </w:p>
        </w:tc>
      </w:tr>
      <w:tr>
        <w:trPr>
          <w:trHeight w:val="237"/>
        </w:trPr>
        <w:tc>
          <w:tcPr>
            <w:tcW w:w="2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income taxes</w:t>
            </w:r>
          </w:p>
        </w:tc>
        <w:tc>
          <w:tcPr>
            <w:tcW w:w="200" w:type="dxa"/>
            <w:vAlign w:val="bottom"/>
          </w:tcPr>
          <w:p>
            <w:pPr>
              <w:spacing w:after="0"/>
              <w:rPr>
                <w:sz w:val="20"/>
                <w:szCs w:val="20"/>
                <w:color w:val="auto"/>
              </w:rPr>
            </w:pPr>
          </w:p>
        </w:tc>
        <w:tc>
          <w:tcPr>
            <w:tcW w:w="136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48,739</w:t>
            </w:r>
          </w:p>
        </w:tc>
        <w:tc>
          <w:tcPr>
            <w:tcW w:w="220" w:type="dxa"/>
            <w:vAlign w:val="bottom"/>
          </w:tcPr>
          <w:p>
            <w:pPr>
              <w:spacing w:after="0"/>
              <w:rPr>
                <w:sz w:val="20"/>
                <w:szCs w:val="20"/>
                <w:color w:val="auto"/>
              </w:rPr>
            </w:pPr>
          </w:p>
        </w:tc>
        <w:tc>
          <w:tcPr>
            <w:tcW w:w="14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39,016</w:t>
            </w:r>
          </w:p>
        </w:tc>
        <w:tc>
          <w:tcPr>
            <w:tcW w:w="80" w:type="dxa"/>
            <w:vAlign w:val="bottom"/>
          </w:tcPr>
          <w:p>
            <w:pPr>
              <w:spacing w:after="0"/>
              <w:rPr>
                <w:sz w:val="20"/>
                <w:szCs w:val="20"/>
                <w:color w:val="auto"/>
              </w:rPr>
            </w:pPr>
          </w:p>
        </w:tc>
        <w:tc>
          <w:tcPr>
            <w:tcW w:w="3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conducts business in a number of tax jurisdictions. As a result, it is subject to tax audits on a regular basis including, but not limited to, such major jurisdictions as the U.S., the U.K., China, France, Germany, and Canada. With few exceptions, the Company is no longer subject to U.S. and international income tax examinations for years before 2021.</w:t>
      </w:r>
    </w:p>
    <w:p>
      <w:pPr>
        <w:spacing w:after="0" w:line="6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Company and certain of its subsidiaries have ongoing tax controversies in the U.S., Canada, France, Ireland, the U.K., and India. The Company does not anticipate resolution of these audits will have a material impact on its unaudited condensed consolidated financial statements.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RESTRUCTURING AND ASSET IMPAIRMENTS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has undertaken restructuring actions impacting the reportable segments at various locations across North America, Europe and Asia to manage the Company through the current demand environment, including appropriately right-sizing the Company’s infrastructure, optimizing operations, and driving efficiency. This includes workforce right-sizing actions resulting in severance and transition costs; and costs related to the consolidation of facilities resulting in long-lived asset impairments (principally property, plant, and equipment and right-of-use assets), accelerated depreciation charges, and certain other costs. Generally, these actions are in response to recent macroeconomic impacts on the Company.</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restructuring costs by reportable segment:</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9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23"/>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00"/>
        </w:trPr>
        <w:tc>
          <w:tcPr>
            <w:tcW w:w="7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7"/>
                <w:szCs w:val="17"/>
                <w:color w:val="auto"/>
              </w:rPr>
            </w:pPr>
          </w:p>
        </w:tc>
        <w:tc>
          <w:tcPr>
            <w:tcW w:w="1440" w:type="dxa"/>
            <w:vAlign w:val="bottom"/>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23"/>
        </w:trPr>
        <w:tc>
          <w:tcPr>
            <w:tcW w:w="70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4"/>
          </w:tcPr>
          <w:p>
            <w:pPr>
              <w:spacing w:after="0"/>
              <w:rPr>
                <w:sz w:val="2"/>
                <w:szCs w:val="2"/>
                <w:color w:val="auto"/>
              </w:rPr>
            </w:pPr>
          </w:p>
        </w:tc>
      </w:tr>
      <w:tr>
        <w:trPr>
          <w:trHeight w:val="186"/>
        </w:trPr>
        <w:tc>
          <w:tcPr>
            <w:tcW w:w="7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0" w:type="dxa"/>
            <w:vAlign w:val="bottom"/>
            <w:gridSpan w:val="4"/>
          </w:tcPr>
          <w:p>
            <w:pPr>
              <w:jc w:val="right"/>
              <w:ind w:right="12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70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440" w:type="dxa"/>
            <w:vAlign w:val="bottom"/>
          </w:tcPr>
          <w:p>
            <w:pPr>
              <w:spacing w:after="0"/>
              <w:rPr>
                <w:sz w:val="3"/>
                <w:szCs w:val="3"/>
                <w:color w:val="auto"/>
              </w:rPr>
            </w:pPr>
          </w:p>
        </w:tc>
      </w:tr>
      <w:tr>
        <w:trPr>
          <w:trHeight w:val="24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17,632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1,424</w:t>
            </w:r>
          </w:p>
        </w:tc>
      </w:tr>
      <w:tr>
        <w:trPr>
          <w:trHeight w:val="233"/>
        </w:trPr>
        <w:tc>
          <w:tcPr>
            <w:tcW w:w="7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220" w:type="dxa"/>
            <w:vAlign w:val="bottom"/>
          </w:tcPr>
          <w:p>
            <w:pPr>
              <w:spacing w:after="0"/>
              <w:rPr>
                <w:sz w:val="20"/>
                <w:szCs w:val="20"/>
                <w:color w:val="auto"/>
              </w:rPr>
            </w:pPr>
          </w:p>
        </w:tc>
        <w:tc>
          <w:tcPr>
            <w:tcW w:w="14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17,542</w:t>
            </w:r>
          </w:p>
        </w:tc>
      </w:tr>
      <w:tr>
        <w:trPr>
          <w:trHeight w:val="253"/>
        </w:trPr>
        <w:tc>
          <w:tcPr>
            <w:tcW w:w="7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3,711</w:t>
            </w:r>
          </w:p>
        </w:tc>
      </w:tr>
      <w:tr>
        <w:trPr>
          <w:trHeight w:val="237"/>
        </w:trPr>
        <w:tc>
          <w:tcPr>
            <w:tcW w:w="7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6,606</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1,168</w:t>
            </w:r>
          </w:p>
        </w:tc>
      </w:tr>
      <w:tr>
        <w:trPr>
          <w:trHeight w:val="268"/>
        </w:trPr>
        <w:tc>
          <w:tcPr>
            <w:tcW w:w="70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31,580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23,845</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restructuring costs as included within the Company’s unaudited condensed consolidated statements of income:</w:t>
      </w:r>
    </w:p>
    <w:p>
      <w:pPr>
        <w:spacing w:after="0" w:line="151"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Severance and</w:t>
            </w: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Asset</w:t>
            </w:r>
          </w:p>
        </w:tc>
        <w:tc>
          <w:tcPr>
            <w:tcW w:w="2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20" w:type="dxa"/>
            <w:vAlign w:val="bottom"/>
            <w:gridSpan w:val="3"/>
          </w:tcPr>
          <w:p>
            <w:pPr>
              <w:jc w:val="center"/>
              <w:ind w:right="80"/>
              <w:spacing w:after="0" w:line="135" w:lineRule="exact"/>
              <w:rPr>
                <w:sz w:val="20"/>
                <w:szCs w:val="20"/>
                <w:color w:val="auto"/>
              </w:rPr>
            </w:pPr>
            <w:r>
              <w:rPr>
                <w:rFonts w:ascii="Times New Roman" w:cs="Times New Roman" w:eastAsia="Times New Roman" w:hAnsi="Times New Roman"/>
                <w:sz w:val="14"/>
                <w:szCs w:val="14"/>
                <w:b w:val="1"/>
                <w:bCs w:val="1"/>
                <w:color w:val="auto"/>
              </w:rPr>
              <w:t>Impairments and</w:t>
            </w:r>
          </w:p>
        </w:tc>
        <w:tc>
          <w:tcPr>
            <w:tcW w:w="260" w:type="dxa"/>
            <w:vAlign w:val="bottom"/>
          </w:tcPr>
          <w:p>
            <w:pPr>
              <w:spacing w:after="0"/>
              <w:rPr>
                <w:sz w:val="11"/>
                <w:szCs w:val="11"/>
                <w:color w:val="auto"/>
              </w:rPr>
            </w:pPr>
          </w:p>
        </w:tc>
        <w:tc>
          <w:tcPr>
            <w:tcW w:w="9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1"/>
                <w:szCs w:val="11"/>
                <w:color w:val="auto"/>
              </w:rPr>
            </w:pPr>
          </w:p>
        </w:tc>
        <w:tc>
          <w:tcPr>
            <w:tcW w:w="1120" w:type="dxa"/>
            <w:vAlign w:val="bottom"/>
            <w:gridSpan w:val="2"/>
            <w:vMerge w:val="continue"/>
          </w:tcPr>
          <w:p>
            <w:pPr>
              <w:spacing w:after="0"/>
              <w:rPr>
                <w:sz w:val="11"/>
                <w:szCs w:val="11"/>
                <w:color w:val="auto"/>
              </w:rPr>
            </w:pPr>
          </w:p>
        </w:tc>
        <w:tc>
          <w:tcPr>
            <w:tcW w:w="1220" w:type="dxa"/>
            <w:vAlign w:val="bottom"/>
            <w:gridSpan w:val="3"/>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Impairments and</w:t>
            </w:r>
          </w:p>
        </w:tc>
        <w:tc>
          <w:tcPr>
            <w:tcW w:w="260" w:type="dxa"/>
            <w:vAlign w:val="bottom"/>
          </w:tcPr>
          <w:p>
            <w:pPr>
              <w:spacing w:after="0"/>
              <w:rPr>
                <w:sz w:val="11"/>
                <w:szCs w:val="11"/>
                <w:color w:val="auto"/>
              </w:rPr>
            </w:pPr>
          </w:p>
        </w:tc>
        <w:tc>
          <w:tcPr>
            <w:tcW w:w="86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3"/>
        </w:trPr>
        <w:tc>
          <w:tcPr>
            <w:tcW w:w="2600" w:type="dxa"/>
            <w:vAlign w:val="bottom"/>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Transition Costs</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6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22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Transition Costs</w:t>
            </w:r>
          </w:p>
        </w:tc>
        <w:tc>
          <w:tcPr>
            <w:tcW w:w="140" w:type="dxa"/>
            <w:vAlign w:val="bottom"/>
          </w:tcPr>
          <w:p>
            <w:pPr>
              <w:spacing w:after="0"/>
              <w:rPr>
                <w:sz w:val="16"/>
                <w:szCs w:val="16"/>
                <w:color w:val="auto"/>
              </w:rPr>
            </w:pPr>
          </w:p>
        </w:tc>
        <w:tc>
          <w:tcPr>
            <w:tcW w:w="10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26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Cost of services provided (excluding</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4,791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21,194</w:t>
            </w:r>
          </w:p>
        </w:tc>
        <w:tc>
          <w:tcPr>
            <w:tcW w:w="8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25,985</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7,698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13,173</w:t>
            </w:r>
          </w:p>
        </w:tc>
        <w:tc>
          <w:tcPr>
            <w:tcW w:w="100" w:type="dxa"/>
            <w:vAlign w:val="bottom"/>
          </w:tcPr>
          <w:p>
            <w:pPr>
              <w:spacing w:after="0"/>
              <w:rPr>
                <w:sz w:val="20"/>
                <w:szCs w:val="20"/>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20,871</w:t>
            </w:r>
          </w:p>
        </w:tc>
        <w:tc>
          <w:tcPr>
            <w:tcW w:w="0" w:type="dxa"/>
            <w:vAlign w:val="bottom"/>
          </w:tcPr>
          <w:p>
            <w:pPr>
              <w:spacing w:after="0"/>
              <w:rPr>
                <w:sz w:val="1"/>
                <w:szCs w:val="1"/>
                <w:color w:val="auto"/>
              </w:rPr>
            </w:pPr>
          </w:p>
        </w:tc>
      </w:tr>
      <w:tr>
        <w:trPr>
          <w:trHeight w:val="212"/>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Cost of products sold (excluding</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1,199</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1,191</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1,496</w:t>
            </w:r>
          </w:p>
        </w:tc>
        <w:tc>
          <w:tcPr>
            <w:tcW w:w="0" w:type="dxa"/>
            <w:vAlign w:val="bottom"/>
          </w:tcPr>
          <w:p>
            <w:pPr>
              <w:spacing w:after="0"/>
              <w:rPr>
                <w:sz w:val="1"/>
                <w:szCs w:val="1"/>
                <w:color w:val="auto"/>
              </w:rPr>
            </w:pPr>
          </w:p>
        </w:tc>
      </w:tr>
      <w:tr>
        <w:trPr>
          <w:trHeight w:val="236"/>
        </w:trPr>
        <w:tc>
          <w:tcPr>
            <w:tcW w:w="26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2,977</w:t>
            </w:r>
          </w:p>
        </w:tc>
        <w:tc>
          <w:tcPr>
            <w:tcW w:w="8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3,205</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1,025</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1,478</w:t>
            </w:r>
          </w:p>
        </w:tc>
        <w:tc>
          <w:tcPr>
            <w:tcW w:w="0" w:type="dxa"/>
            <w:vAlign w:val="bottom"/>
          </w:tcPr>
          <w:p>
            <w:pPr>
              <w:spacing w:after="0"/>
              <w:rPr>
                <w:sz w:val="1"/>
                <w:szCs w:val="1"/>
                <w:color w:val="auto"/>
              </w:rPr>
            </w:pPr>
          </w:p>
        </w:tc>
      </w:tr>
      <w:tr>
        <w:trPr>
          <w:trHeight w:val="268"/>
        </w:trPr>
        <w:tc>
          <w:tcPr>
            <w:tcW w:w="26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restructuring costs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25,362</w:t>
            </w:r>
          </w:p>
        </w:tc>
        <w:tc>
          <w:tcPr>
            <w:tcW w:w="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31,580</w:t>
            </w: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23,845</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Rollforward of Restructuring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a rollforward for the Company’s accrued restructuring costs related to all restructuring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76"/>
        </w:trPr>
        <w:tc>
          <w:tcPr>
            <w:tcW w:w="3660" w:type="dxa"/>
            <w:vAlign w:val="bottom"/>
          </w:tcPr>
          <w:p>
            <w:pPr>
              <w:spacing w:after="0"/>
              <w:rPr>
                <w:sz w:val="15"/>
                <w:szCs w:val="15"/>
                <w:color w:val="auto"/>
              </w:rPr>
            </w:pPr>
          </w:p>
        </w:tc>
        <w:tc>
          <w:tcPr>
            <w:tcW w:w="17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Severance and Transition</w:t>
            </w:r>
          </w:p>
        </w:tc>
        <w:tc>
          <w:tcPr>
            <w:tcW w:w="16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4"/>
        </w:trPr>
        <w:tc>
          <w:tcPr>
            <w:tcW w:w="36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Costs</w:t>
            </w:r>
          </w:p>
        </w:tc>
        <w:tc>
          <w:tcPr>
            <w:tcW w:w="160" w:type="dxa"/>
            <w:vAlign w:val="bottom"/>
          </w:tcPr>
          <w:p>
            <w:pPr>
              <w:spacing w:after="0"/>
              <w:rPr>
                <w:sz w:val="17"/>
                <w:szCs w:val="17"/>
                <w:color w:val="auto"/>
              </w:rPr>
            </w:pPr>
          </w:p>
        </w:tc>
        <w:tc>
          <w:tcPr>
            <w:tcW w:w="15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Asset Impairments</w:t>
            </w:r>
          </w:p>
        </w:tc>
        <w:tc>
          <w:tcPr>
            <w:tcW w:w="420" w:type="dxa"/>
            <w:vAlign w:val="bottom"/>
          </w:tcPr>
          <w:p>
            <w:pPr>
              <w:spacing w:after="0"/>
              <w:rPr>
                <w:sz w:val="17"/>
                <w:szCs w:val="17"/>
                <w:color w:val="auto"/>
              </w:rPr>
            </w:pP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Other Costs</w:t>
            </w:r>
          </w:p>
        </w:tc>
        <w:tc>
          <w:tcPr>
            <w:tcW w:w="360" w:type="dxa"/>
            <w:vAlign w:val="bottom"/>
          </w:tcPr>
          <w:p>
            <w:pPr>
              <w:spacing w:after="0"/>
              <w:rPr>
                <w:sz w:val="17"/>
                <w:szCs w:val="17"/>
                <w:color w:val="auto"/>
              </w:rPr>
            </w:pPr>
          </w:p>
        </w:tc>
        <w:tc>
          <w:tcPr>
            <w:tcW w:w="1260" w:type="dxa"/>
            <w:vAlign w:val="bottom"/>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366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gridSpan w:val="3"/>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186"/>
        </w:trPr>
        <w:tc>
          <w:tcPr>
            <w:tcW w:w="36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1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28, 2026</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
        </w:trPr>
        <w:tc>
          <w:tcPr>
            <w:tcW w:w="36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23,005</w:t>
            </w:r>
          </w:p>
        </w:tc>
      </w:tr>
      <w:tr>
        <w:trPr>
          <w:trHeight w:val="233"/>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9,801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31,580</w:t>
            </w:r>
          </w:p>
        </w:tc>
      </w:tr>
      <w:tr>
        <w:trPr>
          <w:trHeight w:val="253"/>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 utilization</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(8,231)</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(17,304)</w:t>
            </w:r>
          </w:p>
        </w:tc>
      </w:tr>
      <w:tr>
        <w:trPr>
          <w:trHeight w:val="233"/>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(15,561)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(16,289)</w:t>
            </w:r>
          </w:p>
        </w:tc>
      </w:tr>
      <w:tr>
        <w:trPr>
          <w:trHeight w:val="246"/>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4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20,708</w:t>
            </w:r>
          </w:p>
        </w:tc>
      </w:tr>
      <w:tr>
        <w:trPr>
          <w:trHeight w:val="20"/>
        </w:trPr>
        <w:tc>
          <w:tcPr>
            <w:tcW w:w="3660" w:type="dxa"/>
            <w:vAlign w:val="bottom"/>
            <w:tcBorders>
              <w:bottom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r>
        <w:trPr>
          <w:trHeight w:val="129"/>
        </w:trPr>
        <w:tc>
          <w:tcPr>
            <w:tcW w:w="366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r>
      <w:tr>
        <w:trPr>
          <w:trHeight w:val="196"/>
        </w:trPr>
        <w:tc>
          <w:tcPr>
            <w:tcW w:w="36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29, 2025</w:t>
            </w: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4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Beginning balance</w:t>
            </w:r>
          </w:p>
        </w:tc>
        <w:tc>
          <w:tcPr>
            <w:tcW w:w="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24,469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25,344</w:t>
            </w:r>
          </w:p>
        </w:tc>
      </w:tr>
      <w:tr>
        <w:trPr>
          <w:trHeight w:val="233"/>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Expense</w:t>
            </w: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8,414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23,845</w:t>
            </w:r>
          </w:p>
        </w:tc>
      </w:tr>
      <w:tr>
        <w:trPr>
          <w:trHeight w:val="253"/>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Payments / utilization</w:t>
            </w:r>
          </w:p>
        </w:tc>
        <w:tc>
          <w:tcPr>
            <w:tcW w:w="38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(9,052)</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(14,320)</w:t>
            </w:r>
          </w:p>
        </w:tc>
      </w:tr>
      <w:tr>
        <w:trPr>
          <w:trHeight w:val="233"/>
        </w:trPr>
        <w:tc>
          <w:tcPr>
            <w:tcW w:w="366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Other non-cash adjustments</w:t>
            </w:r>
          </w:p>
        </w:tc>
        <w:tc>
          <w:tcPr>
            <w:tcW w:w="380" w:type="dxa"/>
            <w:vAlign w:val="bottom"/>
          </w:tcPr>
          <w:p>
            <w:pPr>
              <w:spacing w:after="0"/>
              <w:rPr>
                <w:sz w:val="20"/>
                <w:szCs w:val="20"/>
                <w:color w:val="auto"/>
              </w:rPr>
            </w:pP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20"/>
                <w:szCs w:val="20"/>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(10,306)</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(10,163)</w:t>
            </w:r>
          </w:p>
        </w:tc>
      </w:tr>
      <w:tr>
        <w:trPr>
          <w:trHeight w:val="246"/>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Foreign currency adjustments</w:t>
            </w:r>
          </w:p>
        </w:tc>
        <w:tc>
          <w:tcPr>
            <w:tcW w:w="3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r>
      <w:tr>
        <w:trPr>
          <w:trHeight w:val="243"/>
        </w:trPr>
        <w:tc>
          <w:tcPr>
            <w:tcW w:w="36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Ending Balance</w:t>
            </w:r>
          </w:p>
        </w:tc>
        <w:tc>
          <w:tcPr>
            <w:tcW w:w="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23,924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24,799</w:t>
            </w:r>
          </w:p>
        </w:tc>
      </w:tr>
      <w:tr>
        <w:trPr>
          <w:trHeight w:val="21"/>
        </w:trPr>
        <w:tc>
          <w:tcPr>
            <w:tcW w:w="366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of March 28, 2026 and December 27, 2025, $20.7 million and $23.0 million, respectively, of severance and other personnel related costs liabilities were included in accrued compensation and accrued liabilities within the Company’s unaudited condensed consolidated balance sheets.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Chief Executive Officer and David R. Smith, the former Chief Financial Officer as defendants along with the Company. The amended complaint asserts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On July 1, 2024, the court dismissed the complaint, denied the plaintiff’s informal request for leave to amend, and entered judgment for defendants. On July 30, 2025, the plaintiff filed a notice of appeal in the United States Court of Appeals for the First Circuit. Oral arguments took place on May 5, 2025. On August 15, 2025, the U.S. Court of Appeals for the First Circuit reversed in part the district court’s dismissal on the pleadings of the securities fraud claims. The case returned to U.S. District Court for the District of Massachusetts. On October 16, 2025, the plaintiff filed a motion to withdraw the State Teachers Retirement System of Ohio as lead plaintiff, due to lack of statutory standing, and substitute Oklahoma Firefighters Pension and Retirement System. While the Company cannot predict the final outcome of this matter, it believes the class action to be without merit and plans to vigorously defend against it. The Company cannot reasonably estimate the maximum potential exposure or the range of possible loss in association with this matter.</w:t>
      </w:r>
    </w:p>
    <w:p>
      <w:pPr>
        <w:spacing w:after="0" w:line="8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Chief Executive Officer; David R. Smith, a former Chief Financial Officer; and Flavia Pease, a former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On August 2, 2024, a different stockholder filed a lawsuit in the U.S. District Court of Delaware asserting similar derivative claims on the Company’s behalf against members of the Company’s current and former Board of Directors and the same current/former officers based on</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6" w:name="page27"/>
    <w:bookmarkEnd w:id="2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3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similar allegations of purportedly misleading disclosures and non-compliance with legal rules and ethics standards in respect of the importation of non-human primates, as well as insider-trading claims against certain of the defendants. Both of these lawsuits are currently stayed by agreement of the parties pending further developments in the Securities Class Action pending in the United States Court of Appeals for the First Circuit. While the Company cannot predict the outcome of these matters, it believes the derivative lawsuits to be without merit and plans to vigorously defend against them. The Company cannot reasonably estimate the maximum potential exposure or the range of possible loss in association with these matters.</w:t>
      </w:r>
    </w:p>
    <w:p>
      <w:pPr>
        <w:spacing w:after="0" w:line="75"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Aside from the matters above, the Company believes there are no other matters pending against the Company that could have a material impact on the Company’s business,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7" w:name="page28"/>
    <w:bookmarkEnd w:id="2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our unaudited condensed consolidated financial statements and related notes of this Quarterly Report on Form 10-Q and our audited consolidated financial statements and related notes included in our Annual Report on Form 10-K for fiscal year 2025 as filed with the SEC on February 18, 2026. The following discussion contains forward-looking statements. Actual results may differ significantly from those projected in the forward-looking statements. Factors that might cause future results to differ materially from those projected in the forward-looking statements include, but are not limited to, those discussed in Item 1A, “Risk Factors” included elsewhere within this Form 10-Q. Certain percentage changes may not recalculate due to rounding.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We are a leading, full service, non-clinical global drug development partner. For over 75 years, we have been in the business of providing the research models required in the research and development of new drugs, devices, and therapies. Over this time, we have built upon our original core competency of laboratory animal medicine and science (research model technologies) to develop a diverse portfolio of discovery and safety assessment services, both Good Laboratory Practice (GLP) and non-GLP, that supports our clients from target identification through non-clinical development. We also provide a suite of products and services to support our clients’ manufacturing activities. Utilizing our broad portfolio of products and services enables our clients to create a more efficient and flexible drug development model, which reduces their costs, enhances their productivity and effectiveness, and increases speed to market.</w:t>
      </w:r>
    </w:p>
    <w:p>
      <w:pPr>
        <w:spacing w:after="0" w:line="81"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Our client base includes major global pharmaceutical companies, many biotechnology companies; agricultural and industrial chemical, life science, veterinary medicine, medical device, diagnostic and consumer product companies; contract research and contract manufacturing organizations; and other commercial entities, as well as leading hospitals, academic institutions, and government agencies around the world.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Our three reportable segments are Research Models and Services (RMS), Discovery and Safety Assessment (DSA), and Manufacturing Solutions (Manufacturing).</w:t>
      </w:r>
    </w:p>
    <w:p>
      <w:pPr>
        <w:spacing w:after="0" w:line="54"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Our RMS reportable segment includes the products and services offered within Research Models, Research Model Services, and Cell Solutions. Research Models includes the commercial production and sale of small research models, as well as the supply of large research models. Research Model Services includes: Insourcing Solutions (IS), which provides colony management of our clients’ research operations (including recruitment, training, staffing, and management services) within our clients’ facilities as well as our own vivarium space, utilizing our Charles River Accelerator and Development Lab (CRADL™) offerings, Genetically Engineered Models and Services (GEMS), which performs contract breeding and other services associated with genetically engineered models; and Research Animal Diagnostic Services (RADS), which provides health monitoring and diagnostics services related to research models; and Cell Solutions which provides controlled, consistent, customized primary cells and blood components derived from normal and mobilized peripheral blood and bone marrow as well as cells from disease state donors.</w:t>
      </w:r>
    </w:p>
    <w:p>
      <w:pPr>
        <w:spacing w:after="0" w:line="84"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 xml:space="preserve">Our DSA segment is comprised of Discovery and Safety Assessment services. We provide regulated and non-regulated DSA services to support the discovery, development, and regulatory-required safety testing of potential new drugs, including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(non-animal)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(in research models) studies, laboratory support services, including bioanalytical and strategic non-clinical consulting and program management to support product development.</w:t>
      </w:r>
    </w:p>
    <w:p>
      <w:pPr>
        <w:spacing w:after="0" w:line="70" w:lineRule="exact"/>
        <w:rPr>
          <w:sz w:val="20"/>
          <w:szCs w:val="20"/>
          <w:color w:val="auto"/>
        </w:rPr>
      </w:pPr>
    </w:p>
    <w:p>
      <w:pPr>
        <w:jc w:val="both"/>
        <w:ind w:right="40"/>
        <w:spacing w:after="0" w:line="267" w:lineRule="auto"/>
        <w:rPr>
          <w:sz w:val="20"/>
          <w:szCs w:val="20"/>
          <w:color w:val="auto"/>
        </w:rPr>
      </w:pPr>
      <w:r>
        <w:rPr>
          <w:rFonts w:ascii="Times New Roman" w:cs="Times New Roman" w:eastAsia="Times New Roman" w:hAnsi="Times New Roman"/>
          <w:sz w:val="18"/>
          <w:szCs w:val="18"/>
          <w:color w:val="auto"/>
        </w:rPr>
        <w:t xml:space="preserve">Our Manufacturing reportable segment includes Microbial Solutions, which provides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lot-release testing products, microbial detection products, and species identification services and Biologics Solutions (Biologics), which performs specialized testing of biologics (Biologics Testing Solutions) as well as contract development and manufacturing products and services (CDMO).</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Fiscal Quarters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Our fiscal year is typically based on 52-weeks, with each quarter composed of 13 weeks ending on the last Saturday on, or closest to, March 31, June 30, September 30, and December 31. A 53rd week in the fourth quarter of the fiscal year is occasionally necessary to align with a December 31 calendar year-end.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Market Environment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continuing to see a cautious spending environment from our client base, principally within our DSA segment as the challenging demand environment experienced in the recent prior quarters has persisted. As we continue to navigate these challenges in the current macroeconomic environment, DSA backlog held consistent at $1.9 billion as of March 28, 2026 and December 27, 2025, respectively.</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response to recent trends, we continue to implement cost savings initiatives focused on driving greater efficiencies, as well as restructuring actions that have been implemented over the past three years that were focused on workforce right-sizing and site optimization. More recently, efficiency initiatives have targeted incremental savings through process improvements, procurement synergies, and implementation of a global business services model. Collectively, these actions are expected to generate approximately $300 million in cumulative, annualized cost savings by the end of 2026, of which more than $175 million benefitted fiscal year 2025. Workforce right-sizing actions resulted in severance and transition costs while costs related to the consolidation of facilities to optimize our global footprint and drive greater operating efficiency across the company resulted in asset impairments, accelerated depreciation, and other site consolidation charges. We incurred restructuring charges of $31.6 million during the three months ended March 28, 2026, and $99.8 million and $107.0 million during the fiscal years 2025 and 2024, respectively.</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w:t>
      </w:r>
    </w:p>
    <w:p>
      <w:pPr>
        <w:spacing w:after="0" w:line="121"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make strategic acquisitions designed to expand our portfolio of products and services to support the drug discovery and development continuum. We maintain an acquisition strategy that focuses on augmenting internal growth of existing businesses with complementary acquisitions. Our recent transactions are described below.</w:t>
      </w:r>
    </w:p>
    <w:p>
      <w:pPr>
        <w:spacing w:after="0" w:line="68" w:lineRule="exact"/>
        <w:rPr>
          <w:sz w:val="20"/>
          <w:szCs w:val="20"/>
          <w:color w:val="auto"/>
        </w:rPr>
      </w:pPr>
    </w:p>
    <w:p>
      <w:pPr>
        <w:ind w:right="320"/>
        <w:spacing w:after="0" w:line="258" w:lineRule="auto"/>
        <w:rPr>
          <w:sz w:val="20"/>
          <w:szCs w:val="20"/>
          <w:color w:val="auto"/>
        </w:rPr>
      </w:pPr>
      <w:r>
        <w:rPr>
          <w:rFonts w:ascii="Times New Roman" w:cs="Times New Roman" w:eastAsia="Times New Roman" w:hAnsi="Times New Roman"/>
          <w:sz w:val="18"/>
          <w:szCs w:val="18"/>
          <w:color w:val="auto"/>
        </w:rPr>
        <w:t>On April 17, 2026, we completed the acquisition of an additional 79% equity interest in PathoQuest SAS (PathoQuest), a France-based biotechnology company that provides viral and microbial safety testing services using next-generation sequencing and bioinformatics to support biopharmaceutical product development and manufacturing, resulting in a 100% controlling interest. The preliminary purchase price for PathoQuest was €51.6 million (or approximately $60.0 million based on current exchange rates), subject to customary closing adjustments. This business will be reported as part of our Manufacturing reportable segment.</w:t>
      </w:r>
    </w:p>
    <w:p>
      <w:pPr>
        <w:spacing w:after="0" w:line="75"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On January 14, 2026, we completed the acquisition of certain assets of K.F. Cambodia Ltd (Cambodian NHP Supplier), a leading supplier of non-human primates (NHPs) located in Cambodia. The preliminary purchase price for the Cambodian NHP Supplier was $507.3 million, consisting of $335.0 million paid at closing and $172.3 million representing the acquisition date fair value of deferred consideration, which is payable upon the satisfaction of certain post-close conditions. This business is reported as part of our DSA reportable segment for NHPs vertically integrated into the DSA supply chain and the RMS reportable segment for those NHPs sold to third party customers.</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Divestitures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routinely evaluates the strategic fit and fundamental performance of its global businesses, divesting operations that do not meet key business criteria. As part of this ongoing assessment, the Company determined that certain capital could be better deployed in other long-term growth opportunities.</w:t>
      </w:r>
    </w:p>
    <w:p>
      <w:pPr>
        <w:spacing w:after="0" w:line="5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On February 25, 2026, we signed an agreement to sell certain European Discovery Services businesses (European Discovery Divestiture) to IQVIA Inc. (IQVIA) for $145.0 million in cash, subject to certain customary closing conditions, and future contingent payments up to $10.0 million based on future performance. The proposed transaction is expected to close in the second quarter of fiscal year 2026.</w:t>
      </w:r>
    </w:p>
    <w:p>
      <w:pPr>
        <w:spacing w:after="0" w:line="68"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On May 6, 2026, we completed the sale of our CDMO and Cell solutions businesses (CDMO and Cell Solutions Divestiture) to GI Partners (GI) for future contingent performance-based payments up to $50.0 million, subject to certain customary closing adjustments. Additionally, we may be required to fund up to $45.0 million of future EBITDA losses and capital expenditures of the divested businesses over a four year period. During the three months ended March 28, 2026, we recognized a pre-tax loss of $118.0 million, which represents the excess carrying value over the fair value less cost to sell. The loss is recognized within Other (expense) income within the unaudited condensed consolidated statements of income (loss). We will complete our analysis related to the transaction, including determining the final loss on sale, which will be recognized in the second quarter of fiscal year 2026.</w:t>
      </w:r>
    </w:p>
    <w:p>
      <w:pPr>
        <w:spacing w:after="0" w:line="7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March 2026, we completed the sale of certain assets located at our Wilmington, Massachusetts site. The assets consisted of office, laboratory and mixed-use buildings within our RMS segment and unallocated corporate, and was sold to an unrelated third party for cash consideration of $60.1 million, net of costs to sell. In conjunction with the sale, we entered into a long-term operating lease for certain buildings to support RMS and unallocated corporate operations. Upon meeting the criteria for sale leaseback, we derecognized the book value of $21.6 million and recognized a pre-tax gain of approximately $38.5 million. The gain was recognized within our RMS reportable segment and unallocated corporate for $23.2 million and $15.3 million, respectively, and is included in Selling, general and administrative expenses within the unaudited condensed consolidated statements of income (loss).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9" w:name="page30"/>
    <w:bookmarkEnd w:id="29"/>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Results of Operations and Liquidity</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Revenue for three months ended March 28, 2026 increased $11.7 million, or 1.2%, to $995.8 million compared to $984.2 million in the corresponding period in 2025, primarily due to an increase in Manufacturing revenue, driven by our Microbial Solutions business, and to a lesser extent DSA revenue; partially offset by a decrease in RMS revenue, due to decreased large and small model product revenue.</w:t>
      </w:r>
    </w:p>
    <w:p>
      <w:pPr>
        <w:spacing w:after="0" w:line="6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28, 2026, our operating income and operating income as a percentage of revenue were $119.9 million and 12.0% respectively, compared to $74.7 million and 7.6% respectively, in the corresponding period of 2025. The increases in operating income and operating income as a percentage of revenue for the three months ended March 28, 2026 were primarily driven by the gain on sale of certain assets at our Wilmington, Massachusetts site, the absence of accelerated amortization expense, certain third-party legal costs incurred in fiscal year 2025, and the increase in revenue described above; partially offset by higher acquisition, integration and divestiture costs, when compared to the corresponding period in 2025.</w:t>
      </w:r>
    </w:p>
    <w:p>
      <w:pPr>
        <w:spacing w:after="0" w:line="7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Net loss attributable to Charles River Laboratories International, Inc., common shareholders was $14.8 million in the three months ended March 28, 2026, compared to Net income attributable to Charles River Laboratories International Inc, common shareholders of $25.5 million in the corresponding period of 2025. The decrease of $40.3 million for the three months ended March 28, 2026 was due principally to the loss on assets held for sale related to the CDMO and Cell Solutions Divestiture of $118.0 million, partially offset by the increase in operating income described above, compared to the corresponding period in 2025.</w:t>
      </w:r>
    </w:p>
    <w:p>
      <w:pPr>
        <w:spacing w:after="0" w:line="75"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28, 2026, our cash flows from operations were $41.1 million compared with $171.7 million for the same period in 2025. The decrease was primarily related to higher payments of variable compensation, specifically annual incentive based bonuses paid during the first quarter.</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28, 2026 Compared to Three Months Ended March 29,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and Operating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consolidated revenue by type and by reportable segment: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4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vMerge w:val="restart"/>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640" w:type="dxa"/>
            <w:vAlign w:val="bottom"/>
            <w:vMerge w:val="restart"/>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60" w:type="dxa"/>
            <w:vAlign w:val="bottom"/>
          </w:tcPr>
          <w:p>
            <w:pPr>
              <w:spacing w:after="0"/>
              <w:rPr>
                <w:sz w:val="16"/>
                <w:szCs w:val="16"/>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6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60" w:type="dxa"/>
            <w:vAlign w:val="bottom"/>
            <w:gridSpan w:val="4"/>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9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798,152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797,923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3"/>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Product revenue</w:t>
            </w: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197,678</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186,245</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11,433</w:t>
            </w:r>
          </w:p>
        </w:tc>
        <w:tc>
          <w:tcPr>
            <w:tcW w:w="1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0" w:type="dxa"/>
            <w:vAlign w:val="bottom"/>
          </w:tcPr>
          <w:p>
            <w:pPr>
              <w:spacing w:after="0"/>
              <w:rPr>
                <w:sz w:val="1"/>
                <w:szCs w:val="1"/>
                <w:color w:val="auto"/>
              </w:rPr>
            </w:pPr>
          </w:p>
        </w:tc>
      </w:tr>
      <w:tr>
        <w:trPr>
          <w:trHeight w:val="237"/>
        </w:trPr>
        <w:tc>
          <w:tcPr>
            <w:tcW w:w="29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995,830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984,168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11,662</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2"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vMerge w:val="restart"/>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700" w:type="dxa"/>
            <w:vAlign w:val="bottom"/>
            <w:vMerge w:val="restart"/>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40" w:type="dxa"/>
            <w:vAlign w:val="bottom"/>
          </w:tcPr>
          <w:p>
            <w:pPr>
              <w:spacing w:after="0"/>
              <w:rPr>
                <w:sz w:val="16"/>
                <w:szCs w:val="16"/>
                <w:color w:val="auto"/>
              </w:rPr>
            </w:pPr>
          </w:p>
        </w:tc>
        <w:tc>
          <w:tcPr>
            <w:tcW w:w="12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4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700" w:type="dxa"/>
            <w:vAlign w:val="bottom"/>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26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60" w:type="dxa"/>
            <w:vAlign w:val="bottom"/>
            <w:gridSpan w:val="5"/>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208,367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213,073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w:t>
            </w:r>
          </w:p>
        </w:tc>
        <w:tc>
          <w:tcPr>
            <w:tcW w:w="17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(2.2)%</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213"/>
        </w:trPr>
        <w:tc>
          <w:tcPr>
            <w:tcW w:w="26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140" w:type="dxa"/>
            <w:vAlign w:val="bottom"/>
          </w:tcPr>
          <w:p>
            <w:pPr>
              <w:spacing w:after="0"/>
              <w:rPr>
                <w:sz w:val="18"/>
                <w:szCs w:val="18"/>
                <w:color w:val="auto"/>
              </w:rPr>
            </w:pPr>
          </w:p>
        </w:tc>
        <w:tc>
          <w:tcPr>
            <w:tcW w:w="118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596,923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592,609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4,314</w:t>
            </w:r>
          </w:p>
        </w:tc>
        <w:tc>
          <w:tcPr>
            <w:tcW w:w="1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0.7 %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9"/>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190,540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178,486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12,054</w:t>
            </w:r>
          </w:p>
        </w:tc>
        <w:tc>
          <w:tcPr>
            <w:tcW w:w="17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6.8 %</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210"/>
        </w:trPr>
        <w:tc>
          <w:tcPr>
            <w:tcW w:w="266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Total revenue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6"/>
                <w:szCs w:val="16"/>
                <w:color w:val="auto"/>
              </w:rPr>
              <w:t>995,830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984,168</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11,662</w:t>
            </w:r>
          </w:p>
        </w:tc>
        <w:tc>
          <w:tcPr>
            <w:tcW w:w="1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1.2 %</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2.8 %</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operating income by reportable segment:</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98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2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 change</w:t>
            </w:r>
            <w:r>
              <w:rPr>
                <w:rFonts w:ascii="Times New Roman" w:cs="Times New Roman" w:eastAsia="Times New Roman" w:hAnsi="Times New Roman"/>
                <w:sz w:val="9"/>
                <w:szCs w:val="9"/>
                <w:b w:val="1"/>
                <w:bCs w:val="1"/>
                <w:color w:val="auto"/>
              </w:rPr>
              <w:t>(1)</w:t>
            </w:r>
          </w:p>
        </w:tc>
        <w:tc>
          <w:tcPr>
            <w:tcW w:w="1400" w:type="dxa"/>
            <w:vAlign w:val="bottom"/>
            <w:vMerge w:val="restart"/>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Impact of FX</w:t>
            </w:r>
            <w:r>
              <w:rPr>
                <w:rFonts w:ascii="Times New Roman" w:cs="Times New Roman" w:eastAsia="Times New Roman" w:hAnsi="Times New Roman"/>
                <w:sz w:val="9"/>
                <w:szCs w:val="9"/>
                <w:b w:val="1"/>
                <w:bCs w:val="1"/>
                <w:color w:val="auto"/>
              </w:rPr>
              <w:t>(1)</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5"/>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160" w:type="dxa"/>
            <w:vAlign w:val="bottom"/>
            <w:gridSpan w:val="5"/>
          </w:tcPr>
          <w:p>
            <w:pPr>
              <w:jc w:val="center"/>
              <w:ind w:left="86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RMS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49,773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43,605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w:t>
            </w: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14.1 %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13"/>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DSA</w:t>
            </w:r>
          </w:p>
        </w:tc>
        <w:tc>
          <w:tcPr>
            <w:tcW w:w="180" w:type="dxa"/>
            <w:vAlign w:val="bottom"/>
          </w:tcPr>
          <w:p>
            <w:pPr>
              <w:spacing w:after="0"/>
              <w:rPr>
                <w:sz w:val="18"/>
                <w:szCs w:val="18"/>
                <w:color w:val="auto"/>
              </w:rPr>
            </w:pPr>
          </w:p>
        </w:tc>
        <w:tc>
          <w:tcPr>
            <w:tcW w:w="13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103,875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93,952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9,923</w:t>
            </w:r>
          </w:p>
        </w:tc>
        <w:tc>
          <w:tcPr>
            <w:tcW w:w="420" w:type="dxa"/>
            <w:vAlign w:val="bottom"/>
          </w:tcPr>
          <w:p>
            <w:pPr>
              <w:spacing w:after="0"/>
              <w:rPr>
                <w:sz w:val="18"/>
                <w:szCs w:val="18"/>
                <w:color w:val="auto"/>
              </w:rPr>
            </w:pPr>
          </w:p>
        </w:tc>
        <w:tc>
          <w:tcPr>
            <w:tcW w:w="1320" w:type="dxa"/>
            <w:vAlign w:val="bottom"/>
          </w:tcPr>
          <w:p>
            <w:pPr>
              <w:jc w:val="right"/>
              <w:ind w:right="100"/>
              <w:spacing w:after="0"/>
              <w:rPr>
                <w:sz w:val="20"/>
                <w:szCs w:val="20"/>
                <w:color w:val="auto"/>
              </w:rPr>
            </w:pPr>
            <w:r>
              <w:rPr>
                <w:rFonts w:ascii="Times New Roman" w:cs="Times New Roman" w:eastAsia="Times New Roman" w:hAnsi="Times New Roman"/>
                <w:sz w:val="16"/>
                <w:szCs w:val="16"/>
                <w:color w:val="auto"/>
              </w:rPr>
              <w:t>10.6 %</w:t>
            </w:r>
          </w:p>
        </w:tc>
        <w:tc>
          <w:tcPr>
            <w:tcW w:w="1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9"/>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Manufacturing</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46,839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(8,620)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55,459</w:t>
            </w: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NM</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2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(80,590)</w:t>
            </w: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(54,268)</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(26,322)</w:t>
            </w:r>
          </w:p>
        </w:tc>
        <w:tc>
          <w:tcPr>
            <w:tcW w:w="42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ind w:right="100"/>
              <w:spacing w:after="0"/>
              <w:rPr>
                <w:sz w:val="20"/>
                <w:szCs w:val="20"/>
                <w:color w:val="auto"/>
              </w:rPr>
            </w:pPr>
            <w:r>
              <w:rPr>
                <w:rFonts w:ascii="Times New Roman" w:cs="Times New Roman" w:eastAsia="Times New Roman" w:hAnsi="Times New Roman"/>
                <w:sz w:val="16"/>
                <w:szCs w:val="16"/>
                <w:color w:val="auto"/>
              </w:rPr>
              <w:t>48.5 %</w:t>
            </w:r>
          </w:p>
        </w:tc>
        <w:tc>
          <w:tcPr>
            <w:tcW w:w="14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37"/>
        </w:trPr>
        <w:tc>
          <w:tcPr>
            <w:tcW w:w="278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119,897</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74,669</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45,228</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60.6 %</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3.7 %</w:t>
            </w:r>
          </w:p>
        </w:tc>
        <w:tc>
          <w:tcPr>
            <w:tcW w:w="0" w:type="dxa"/>
            <w:vAlign w:val="bottom"/>
          </w:tcPr>
          <w:p>
            <w:pPr>
              <w:spacing w:after="0"/>
              <w:rPr>
                <w:sz w:val="1"/>
                <w:szCs w:val="1"/>
                <w:color w:val="auto"/>
              </w:rPr>
            </w:pPr>
          </w:p>
        </w:tc>
      </w:tr>
      <w:tr>
        <w:trPr>
          <w:trHeight w:val="20"/>
        </w:trPr>
        <w:tc>
          <w:tcPr>
            <w:tcW w:w="278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100"/>
              <w:spacing w:after="0"/>
              <w:rPr>
                <w:sz w:val="20"/>
                <w:szCs w:val="20"/>
                <w:color w:val="auto"/>
              </w:rPr>
            </w:pPr>
            <w:r>
              <w:rPr>
                <w:rFonts w:ascii="Times New Roman" w:cs="Times New Roman" w:eastAsia="Times New Roman" w:hAnsi="Times New Roman"/>
                <w:sz w:val="16"/>
                <w:szCs w:val="16"/>
                <w:color w:val="auto"/>
              </w:rPr>
              <w:t>440 bps</w:t>
            </w: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3810</wp:posOffset>
            </wp:positionV>
            <wp:extent cx="662622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26225" cy="146050"/>
                    </a:xfrm>
                    <a:prstGeom prst="rect">
                      <a:avLst/>
                    </a:prstGeom>
                    <a:noFill/>
                  </pic:spPr>
                </pic:pic>
              </a:graphicData>
            </a:graphic>
          </wp:anchor>
        </w:drawing>
      </w:r>
    </w:p>
    <w:p>
      <w:pPr>
        <w:spacing w:after="0" w:line="17" w:lineRule="exact"/>
        <w:rPr>
          <w:sz w:val="20"/>
          <w:szCs w:val="20"/>
          <w:color w:val="auto"/>
        </w:rPr>
      </w:pPr>
    </w:p>
    <w:p>
      <w:pPr>
        <w:ind w:left="960" w:hanging="124"/>
        <w:spacing w:after="0"/>
        <w:tabs>
          <w:tab w:leader="none" w:pos="960" w:val="left"/>
        </w:tabs>
        <w:numPr>
          <w:ilvl w:val="0"/>
          <w:numId w:val="11"/>
        </w:numPr>
        <w:rPr>
          <w:rFonts w:ascii="Times New Roman" w:cs="Times New Roman" w:eastAsia="Times New Roman" w:hAnsi="Times New Roman"/>
          <w:sz w:val="15"/>
          <w:szCs w:val="15"/>
          <w:color w:val="auto"/>
          <w:vertAlign w:val="superscript"/>
        </w:rPr>
      </w:pPr>
      <w:r>
        <w:rPr>
          <w:rFonts w:ascii="Times New Roman" w:cs="Times New Roman" w:eastAsia="Times New Roman" w:hAnsi="Times New Roman"/>
          <w:sz w:val="11"/>
          <w:szCs w:val="11"/>
          <w:color w:val="auto"/>
        </w:rPr>
        <w:t>“NM” indicates that the percentage change is not meaningful due to the magnitude of the increase or (decrease).</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30" w:name="page31"/>
    <w:bookmarkEnd w:id="3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presents and discusses our consolidated financial results by each of our reportable segments: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RMS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208,367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213,073</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(4,706)</w:t>
            </w:r>
          </w:p>
        </w:tc>
        <w:tc>
          <w:tcPr>
            <w:tcW w:w="4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(2.2)%</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0" w:type="dxa"/>
            <w:vAlign w:val="bottom"/>
          </w:tcPr>
          <w:p>
            <w:pPr>
              <w:spacing w:after="0"/>
              <w:rPr>
                <w:sz w:val="1"/>
                <w:szCs w:val="1"/>
                <w:color w:val="auto"/>
              </w:rPr>
            </w:pPr>
          </w:p>
        </w:tc>
      </w:tr>
      <w:tr>
        <w:trPr>
          <w:trHeight w:val="162"/>
        </w:trPr>
        <w:tc>
          <w:tcPr>
            <w:tcW w:w="2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revenue (excluding amortization</w:t>
            </w:r>
          </w:p>
        </w:tc>
        <w:tc>
          <w:tcPr>
            <w:tcW w:w="180" w:type="dxa"/>
            <w:vAlign w:val="bottom"/>
          </w:tcPr>
          <w:p>
            <w:pPr>
              <w:spacing w:after="0"/>
              <w:rPr>
                <w:sz w:val="14"/>
                <w:szCs w:val="14"/>
                <w:color w:val="auto"/>
              </w:rPr>
            </w:pPr>
          </w:p>
        </w:tc>
        <w:tc>
          <w:tcPr>
            <w:tcW w:w="1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153,963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139,296</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14,667</w:t>
            </w:r>
          </w:p>
        </w:tc>
        <w:tc>
          <w:tcPr>
            <w:tcW w:w="440" w:type="dxa"/>
            <w:vAlign w:val="bottom"/>
          </w:tcPr>
          <w:p>
            <w:pPr>
              <w:spacing w:after="0"/>
              <w:rPr>
                <w:sz w:val="14"/>
                <w:szCs w:val="14"/>
                <w:color w:val="auto"/>
              </w:rPr>
            </w:pPr>
          </w:p>
        </w:tc>
        <w:tc>
          <w:tcPr>
            <w:tcW w:w="132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10.5 %</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intangible assets)</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1,595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24,206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(22,611)</w:t>
            </w:r>
          </w:p>
        </w:tc>
        <w:tc>
          <w:tcPr>
            <w:tcW w:w="4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(93.4)%</w:t>
            </w: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3,036</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5,966</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(2,930)</w:t>
            </w:r>
          </w:p>
        </w:tc>
        <w:tc>
          <w:tcPr>
            <w:tcW w:w="440" w:type="dxa"/>
            <w:vAlign w:val="bottom"/>
            <w:tcBorders>
              <w:bottom w:val="single" w:sz="8" w:color="CCEEFF"/>
            </w:tcBorders>
          </w:tcPr>
          <w:p>
            <w:pPr>
              <w:spacing w:after="0"/>
              <w:rPr>
                <w:sz w:val="18"/>
                <w:szCs w:val="18"/>
                <w:color w:val="auto"/>
              </w:rPr>
            </w:pPr>
          </w:p>
        </w:tc>
        <w:tc>
          <w:tcPr>
            <w:tcW w:w="132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(49.1)%</w:t>
            </w: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49,773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43,605</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6,168</w:t>
            </w:r>
          </w:p>
        </w:tc>
        <w:tc>
          <w:tcPr>
            <w:tcW w:w="4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14.1 %</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7.3 %</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340 bps</w:t>
            </w: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20.5 %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RMS revenue decreased $4.7 million primarily driven by decreases in large research model product revenue, and small model product revenue in North America, and to a lesser extent Cell Supply product revenue and GEMS service revenue; partially offset by increased revenue for small research models in China and the effect of changes in foreign currency exchange rates.</w:t>
      </w:r>
    </w:p>
    <w:p>
      <w:pPr>
        <w:spacing w:after="0" w:line="6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RMS operating income increased $6.2 million compared to the corresponding period in 2025. RMS operating income as a percentage of revenue for the three months ended March 28, 2026 was 23.9%, an increase of 340 bps from 20.5% for the corresponding period in 2025. Operating income and operating income as a percentage of revenue increased primarily due to lower site consolidation charges and the gain on sale of certain assets at our Wilmington, Massachusetts site recognized within Selling, general and administrative expenses; partially offset by an increase in asset impairments recognized within Cost of revenue, and the lower revenue described above, compared to the corresponding period in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DSA</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7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54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60" w:type="dxa"/>
            <w:vAlign w:val="bottom"/>
            <w:vMerge w:val="restart"/>
          </w:tcPr>
          <w:p>
            <w:pPr>
              <w:jc w:val="right"/>
              <w:ind w:right="242"/>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60" w:type="dxa"/>
            <w:vAlign w:val="bottom"/>
          </w:tcPr>
          <w:p>
            <w:pPr>
              <w:spacing w:after="0"/>
              <w:rPr>
                <w:sz w:val="16"/>
                <w:szCs w:val="16"/>
                <w:color w:val="auto"/>
              </w:rPr>
            </w:pPr>
          </w:p>
        </w:tc>
        <w:tc>
          <w:tcPr>
            <w:tcW w:w="1540" w:type="dxa"/>
            <w:vAlign w:val="bottom"/>
            <w:gridSpan w:val="2"/>
            <w:vMerge w:val="continue"/>
          </w:tcPr>
          <w:p>
            <w:pPr>
              <w:spacing w:after="0"/>
              <w:rPr>
                <w:sz w:val="16"/>
                <w:szCs w:val="16"/>
                <w:color w:val="auto"/>
              </w:rPr>
            </w:pPr>
          </w:p>
        </w:tc>
        <w:tc>
          <w:tcPr>
            <w:tcW w:w="1340" w:type="dxa"/>
            <w:vAlign w:val="bottom"/>
            <w:vMerge w:val="continue"/>
          </w:tcPr>
          <w:p>
            <w:pPr>
              <w:spacing w:after="0"/>
              <w:rPr>
                <w:sz w:val="16"/>
                <w:szCs w:val="16"/>
                <w:color w:val="auto"/>
              </w:rPr>
            </w:pPr>
          </w:p>
        </w:tc>
        <w:tc>
          <w:tcPr>
            <w:tcW w:w="13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5"/>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0" w:type="dxa"/>
            <w:vAlign w:val="bottom"/>
            <w:gridSpan w:val="5"/>
          </w:tcPr>
          <w:p>
            <w:pPr>
              <w:ind w:left="100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3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596,923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592,609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4,314</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0.7 %</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162"/>
        </w:trPr>
        <w:tc>
          <w:tcPr>
            <w:tcW w:w="2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revenue (excluding amortization</w:t>
            </w:r>
          </w:p>
        </w:tc>
        <w:tc>
          <w:tcPr>
            <w:tcW w:w="180" w:type="dxa"/>
            <w:vAlign w:val="bottom"/>
          </w:tcPr>
          <w:p>
            <w:pPr>
              <w:spacing w:after="0"/>
              <w:rPr>
                <w:sz w:val="14"/>
                <w:szCs w:val="14"/>
                <w:color w:val="auto"/>
              </w:rPr>
            </w:pPr>
          </w:p>
        </w:tc>
        <w:tc>
          <w:tcPr>
            <w:tcW w:w="1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435,160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420,143</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15,017</w:t>
            </w:r>
          </w:p>
        </w:tc>
        <w:tc>
          <w:tcPr>
            <w:tcW w:w="420" w:type="dxa"/>
            <w:vAlign w:val="bottom"/>
          </w:tcPr>
          <w:p>
            <w:pPr>
              <w:spacing w:after="0"/>
              <w:rPr>
                <w:sz w:val="14"/>
                <w:szCs w:val="14"/>
                <w:color w:val="auto"/>
              </w:rPr>
            </w:pPr>
          </w:p>
        </w:tc>
        <w:tc>
          <w:tcPr>
            <w:tcW w:w="1340" w:type="dxa"/>
            <w:vAlign w:val="bottom"/>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3.6 %</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intangible assets)</w:t>
            </w: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47,524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65,293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(17,769)</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(27.2)%</w:t>
            </w: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10,364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13,221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(2,857)</w:t>
            </w:r>
          </w:p>
        </w:tc>
        <w:tc>
          <w:tcPr>
            <w:tcW w:w="4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ind w:right="140"/>
              <w:spacing w:after="0"/>
              <w:rPr>
                <w:sz w:val="20"/>
                <w:szCs w:val="20"/>
                <w:color w:val="auto"/>
              </w:rPr>
            </w:pPr>
            <w:r>
              <w:rPr>
                <w:rFonts w:ascii="Times New Roman" w:cs="Times New Roman" w:eastAsia="Times New Roman" w:hAnsi="Times New Roman"/>
                <w:sz w:val="16"/>
                <w:szCs w:val="16"/>
                <w:color w:val="auto"/>
              </w:rPr>
              <w:t>(21.6)%</w:t>
            </w:r>
          </w:p>
        </w:tc>
        <w:tc>
          <w:tcPr>
            <w:tcW w:w="13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103,875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93,952</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9,923</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10.6 %</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 of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150 bps</w:t>
            </w: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15.9 %</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DSA revenue increased $4.3 million primarily due to effect of changes in foreign currency exchange rates, partially offset by lower volume principally driven by previous site consolidation activities.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DSA operating income increased $9.9 million compared to the corresponding period in 2025. DSA operating income as a percentage of revenue for the three months ended March 28, 2026 was 17.4%, an increase of 150 bps from 15.9% for the corresponding period in 2025. Operating income and operating income as a percentage of revenue increased primarily due to the absence of certain third-party legal costs in fiscal year 2025 associated with the investigations by the U.S. government into the non-human primate supply chain, lower restructuring activities, including asset impairments recognized within Cost of revenue, as compared to the corresponding period in 2025.</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17" w:right="439" w:bottom="1440" w:gutter="0" w:footer="0" w:header="0"/>
        </w:sectPr>
      </w:pPr>
    </w:p>
    <w:bookmarkStart w:id="31" w:name="page32"/>
    <w:bookmarkEnd w:id="3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Manufacturing</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0" w:type="dxa"/>
            <w:vAlign w:val="bottom"/>
            <w:gridSpan w:val="5"/>
          </w:tcPr>
          <w:p>
            <w:pPr>
              <w:ind w:left="7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520" w:type="dxa"/>
            <w:vAlign w:val="bottom"/>
            <w:gridSpan w:val="2"/>
            <w:vMerge w:val="restart"/>
          </w:tcPr>
          <w:p>
            <w:pPr>
              <w:jc w:val="center"/>
              <w:ind w:right="660"/>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40" w:type="dxa"/>
            <w:vAlign w:val="bottom"/>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 change</w:t>
            </w:r>
            <w:r>
              <w:rPr>
                <w:rFonts w:ascii="Times New Roman" w:cs="Times New Roman" w:eastAsia="Times New Roman" w:hAnsi="Times New Roman"/>
                <w:sz w:val="18"/>
                <w:szCs w:val="18"/>
                <w:b w:val="1"/>
                <w:bCs w:val="1"/>
                <w:color w:val="auto"/>
                <w:vertAlign w:val="superscript"/>
              </w:rPr>
              <w:t>(1)</w:t>
            </w:r>
          </w:p>
        </w:tc>
        <w:tc>
          <w:tcPr>
            <w:tcW w:w="1400" w:type="dxa"/>
            <w:vAlign w:val="bottom"/>
            <w:vMerge w:val="restart"/>
          </w:tcPr>
          <w:p>
            <w:pPr>
              <w:jc w:val="right"/>
              <w:ind w:right="202"/>
              <w:spacing w:after="0"/>
              <w:rPr>
                <w:sz w:val="20"/>
                <w:szCs w:val="20"/>
                <w:color w:val="auto"/>
              </w:rPr>
            </w:pPr>
            <w:r>
              <w:rPr>
                <w:rFonts w:ascii="Times New Roman" w:cs="Times New Roman" w:eastAsia="Times New Roman" w:hAnsi="Times New Roman"/>
                <w:sz w:val="14"/>
                <w:szCs w:val="14"/>
                <w:b w:val="1"/>
                <w:bCs w:val="1"/>
                <w:color w:val="auto"/>
              </w:rPr>
              <w:t>Impact of FX</w:t>
            </w:r>
            <w:r>
              <w:rPr>
                <w:rFonts w:ascii="Times New Roman" w:cs="Times New Roman" w:eastAsia="Times New Roman" w:hAnsi="Times New Roman"/>
                <w:sz w:val="18"/>
                <w:szCs w:val="18"/>
                <w:b w:val="1"/>
                <w:bCs w:val="1"/>
                <w:color w:val="auto"/>
                <w:vertAlign w:val="superscript"/>
              </w:rPr>
              <w:t>(1)</w:t>
            </w:r>
          </w:p>
        </w:tc>
        <w:tc>
          <w:tcPr>
            <w:tcW w:w="0" w:type="dxa"/>
            <w:vAlign w:val="bottom"/>
          </w:tcPr>
          <w:p>
            <w:pPr>
              <w:spacing w:after="0"/>
              <w:rPr>
                <w:sz w:val="1"/>
                <w:szCs w:val="1"/>
                <w:color w:val="auto"/>
              </w:rPr>
            </w:pPr>
          </w:p>
        </w:tc>
      </w:tr>
      <w:tr>
        <w:trPr>
          <w:trHeight w:val="209"/>
        </w:trPr>
        <w:tc>
          <w:tcPr>
            <w:tcW w:w="27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4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2"/>
            <w:vMerge w:val="continue"/>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180" w:type="dxa"/>
            <w:vAlign w:val="bottom"/>
            <w:gridSpan w:val="5"/>
          </w:tcPr>
          <w:p>
            <w:pPr>
              <w:jc w:val="center"/>
              <w:ind w:left="88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4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14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190,540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178,486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12,054</w:t>
            </w: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6.8 %</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3.9 %</w:t>
            </w:r>
          </w:p>
        </w:tc>
        <w:tc>
          <w:tcPr>
            <w:tcW w:w="0" w:type="dxa"/>
            <w:vAlign w:val="bottom"/>
          </w:tcPr>
          <w:p>
            <w:pPr>
              <w:spacing w:after="0"/>
              <w:rPr>
                <w:sz w:val="1"/>
                <w:szCs w:val="1"/>
                <w:color w:val="auto"/>
              </w:rPr>
            </w:pPr>
          </w:p>
        </w:tc>
      </w:tr>
      <w:tr>
        <w:trPr>
          <w:trHeight w:val="162"/>
        </w:trPr>
        <w:tc>
          <w:tcPr>
            <w:tcW w:w="276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Cost of revenue (excluding amortization</w:t>
            </w:r>
          </w:p>
        </w:tc>
        <w:tc>
          <w:tcPr>
            <w:tcW w:w="180" w:type="dxa"/>
            <w:vAlign w:val="bottom"/>
          </w:tcPr>
          <w:p>
            <w:pPr>
              <w:spacing w:after="0"/>
              <w:rPr>
                <w:sz w:val="14"/>
                <w:szCs w:val="14"/>
                <w:color w:val="auto"/>
              </w:rPr>
            </w:pPr>
          </w:p>
        </w:tc>
        <w:tc>
          <w:tcPr>
            <w:tcW w:w="130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112,043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vMerge w:val="restart"/>
          </w:tcPr>
          <w:p>
            <w:pPr>
              <w:jc w:val="right"/>
              <w:ind w:right="121"/>
              <w:spacing w:after="0"/>
              <w:rPr>
                <w:sz w:val="20"/>
                <w:szCs w:val="20"/>
                <w:color w:val="auto"/>
              </w:rPr>
            </w:pPr>
            <w:r>
              <w:rPr>
                <w:rFonts w:ascii="Times New Roman" w:cs="Times New Roman" w:eastAsia="Times New Roman" w:hAnsi="Times New Roman"/>
                <w:sz w:val="16"/>
                <w:szCs w:val="16"/>
                <w:color w:val="auto"/>
              </w:rPr>
              <w:t>106,997</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5,046</w:t>
            </w:r>
          </w:p>
        </w:tc>
        <w:tc>
          <w:tcPr>
            <w:tcW w:w="420" w:type="dxa"/>
            <w:vAlign w:val="bottom"/>
          </w:tcPr>
          <w:p>
            <w:pPr>
              <w:spacing w:after="0"/>
              <w:rPr>
                <w:sz w:val="14"/>
                <w:szCs w:val="14"/>
                <w:color w:val="auto"/>
              </w:rPr>
            </w:pPr>
          </w:p>
        </w:tc>
        <w:tc>
          <w:tcPr>
            <w:tcW w:w="1340" w:type="dxa"/>
            <w:vAlign w:val="bottom"/>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4.7 %</w:t>
            </w: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of intangible assets)</w:t>
            </w:r>
          </w:p>
        </w:tc>
        <w:tc>
          <w:tcPr>
            <w:tcW w:w="180" w:type="dxa"/>
            <w:vAlign w:val="bottom"/>
          </w:tcPr>
          <w:p>
            <w:pPr>
              <w:spacing w:after="0"/>
              <w:rPr>
                <w:sz w:val="18"/>
                <w:szCs w:val="18"/>
                <w:color w:val="auto"/>
              </w:rPr>
            </w:pPr>
          </w:p>
        </w:tc>
        <w:tc>
          <w:tcPr>
            <w:tcW w:w="13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29,713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34,032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(4,319)</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(12.7)%</w:t>
            </w: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intangible assets</w:t>
            </w: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46,077</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(44,132)</w:t>
            </w:r>
          </w:p>
        </w:tc>
        <w:tc>
          <w:tcPr>
            <w:tcW w:w="420" w:type="dxa"/>
            <w:vAlign w:val="bottom"/>
            <w:tcBorders>
              <w:bottom w:val="single" w:sz="8" w:color="CCEEFF"/>
            </w:tcBorders>
          </w:tcPr>
          <w:p>
            <w:pPr>
              <w:spacing w:after="0"/>
              <w:rPr>
                <w:sz w:val="18"/>
                <w:szCs w:val="18"/>
                <w:color w:val="auto"/>
              </w:rPr>
            </w:pPr>
          </w:p>
        </w:tc>
        <w:tc>
          <w:tcPr>
            <w:tcW w:w="134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16"/>
                <w:szCs w:val="16"/>
                <w:color w:val="auto"/>
              </w:rPr>
              <w:t>(95.8)%</w:t>
            </w:r>
          </w:p>
        </w:tc>
        <w:tc>
          <w:tcPr>
            <w:tcW w:w="14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7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Operating income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46,839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(8,620)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55,459</w:t>
            </w:r>
          </w:p>
        </w:tc>
        <w:tc>
          <w:tcPr>
            <w:tcW w:w="4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NM</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6"/>
                <w:szCs w:val="16"/>
                <w:color w:val="auto"/>
              </w:rPr>
              <w:t>Operating income (loss) % of revenue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CCEEFF"/>
              <w:bottom w:val="single" w:sz="8" w:color="CCEEFF"/>
            </w:tcBorders>
            <w:vMerge w:val="restart"/>
          </w:tcPr>
          <w:p>
            <w:pPr>
              <w:jc w:val="right"/>
              <w:ind w:right="120"/>
              <w:spacing w:after="0"/>
              <w:rPr>
                <w:sz w:val="20"/>
                <w:szCs w:val="20"/>
                <w:color w:val="auto"/>
              </w:rPr>
            </w:pPr>
            <w:r>
              <w:rPr>
                <w:rFonts w:ascii="Times New Roman" w:cs="Times New Roman" w:eastAsia="Times New Roman" w:hAnsi="Times New Roman"/>
                <w:sz w:val="16"/>
                <w:szCs w:val="16"/>
                <w:color w:val="auto"/>
              </w:rPr>
              <w:t>2,940 bps</w:t>
            </w: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76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24.6 %</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vMerge w:val="continue"/>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980" w:hanging="144"/>
        <w:spacing w:after="0"/>
        <w:tabs>
          <w:tab w:leader="none" w:pos="980" w:val="left"/>
        </w:tabs>
        <w:numPr>
          <w:ilvl w:val="0"/>
          <w:numId w:val="12"/>
        </w:numPr>
        <w:rPr>
          <w:rFonts w:ascii="Times New Roman" w:cs="Times New Roman" w:eastAsia="Times New Roman" w:hAnsi="Times New Roman"/>
          <w:sz w:val="18"/>
          <w:szCs w:val="18"/>
          <w:color w:val="auto"/>
          <w:vertAlign w:val="superscript"/>
        </w:rPr>
      </w:pPr>
      <w:r>
        <w:rPr>
          <w:rFonts w:ascii="Times New Roman" w:cs="Times New Roman" w:eastAsia="Times New Roman" w:hAnsi="Times New Roman"/>
          <w:sz w:val="14"/>
          <w:szCs w:val="14"/>
          <w:color w:val="auto"/>
        </w:rPr>
        <w:t>“NM” indicates that the percentage change is not meaningful due to the magnitude of the increase or (decrease).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-130810</wp:posOffset>
            </wp:positionV>
            <wp:extent cx="6626225"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26225" cy="163195"/>
                    </a:xfrm>
                    <a:prstGeom prst="rect">
                      <a:avLst/>
                    </a:prstGeom>
                    <a:noFill/>
                  </pic:spPr>
                </pic:pic>
              </a:graphicData>
            </a:graphic>
          </wp:anchor>
        </w:drawing>
      </w:r>
    </w:p>
    <w:p>
      <w:pPr>
        <w:spacing w:after="0" w:line="21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Manufacturing revenue increased $12.1 million primarily due to increased revenue in our Microbial Solutions business driven by higher endotoxin product revenue and the effect of changes in foreign currency exchange rates; partially offset by decreased demand for CDMO services.</w:t>
      </w:r>
    </w:p>
    <w:p>
      <w:pPr>
        <w:spacing w:after="0" w:line="5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Manufacturing operating income increased $55.5 million compared to the corresponding period in 2025. Manufacturing operating income as a percentage of revenue for the three months ended March 28, 2026 was 24.6%, an increase of 2,940 bps from (4.8)% for the corresponding period in 2025. Operating income and operating income as a percentage of revenue increased primarily due to lower amortization expense within the CDMO business principally due to the absence of accelerated amortization expense as a result of a decrease in the remaining useful life of certain client relationships due to a loss of key customers in fiscal year 2025, and due to the increased revenue described above, compared to the corresponding period in 2025.</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Unallocated Corporate</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880" w:type="dxa"/>
            <w:vAlign w:val="bottom"/>
            <w:gridSpan w:val="3"/>
          </w:tcPr>
          <w:p>
            <w:pPr>
              <w:jc w:val="right"/>
              <w:ind w:right="80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360" w:type="dxa"/>
            <w:vAlign w:val="bottom"/>
          </w:tcPr>
          <w:p>
            <w:pPr>
              <w:spacing w:after="0"/>
              <w:rPr>
                <w:sz w:val="3"/>
                <w:szCs w:val="3"/>
                <w:color w:val="auto"/>
              </w:rPr>
            </w:pPr>
          </w:p>
        </w:tc>
        <w:tc>
          <w:tcPr>
            <w:tcW w:w="1540" w:type="dxa"/>
            <w:vAlign w:val="bottom"/>
            <w:vMerge w:val="restart"/>
          </w:tcPr>
          <w:p>
            <w:pPr>
              <w:jc w:val="center"/>
              <w:ind w:right="644"/>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20" w:type="dxa"/>
            <w:vAlign w:val="bottom"/>
            <w:vMerge w:val="restart"/>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380" w:type="dxa"/>
            <w:vAlign w:val="bottom"/>
            <w:vMerge w:val="restart"/>
          </w:tcPr>
          <w:p>
            <w:pPr>
              <w:jc w:val="right"/>
              <w:ind w:right="264"/>
              <w:spacing w:after="0"/>
              <w:rPr>
                <w:sz w:val="20"/>
                <w:szCs w:val="20"/>
                <w:color w:val="auto"/>
              </w:rPr>
            </w:pPr>
            <w:r>
              <w:rPr>
                <w:rFonts w:ascii="Times New Roman" w:cs="Times New Roman" w:eastAsia="Times New Roman" w:hAnsi="Times New Roman"/>
                <w:sz w:val="14"/>
                <w:szCs w:val="14"/>
                <w:b w:val="1"/>
                <w:bCs w:val="1"/>
                <w:color w:val="auto"/>
              </w:rPr>
              <w:t>Impact of FX</w:t>
            </w: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jc w:val="right"/>
              <w:ind w:right="224"/>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40" w:type="dxa"/>
            <w:vAlign w:val="bottom"/>
          </w:tcPr>
          <w:p>
            <w:pPr>
              <w:spacing w:after="0"/>
              <w:rPr>
                <w:sz w:val="16"/>
                <w:szCs w:val="16"/>
                <w:color w:val="auto"/>
              </w:rPr>
            </w:pPr>
          </w:p>
        </w:tc>
        <w:tc>
          <w:tcPr>
            <w:tcW w:w="1300" w:type="dxa"/>
            <w:vAlign w:val="bottom"/>
          </w:tcPr>
          <w:p>
            <w:pPr>
              <w:jc w:val="right"/>
              <w:ind w:right="184"/>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360" w:type="dxa"/>
            <w:vAlign w:val="bottom"/>
          </w:tcPr>
          <w:p>
            <w:pPr>
              <w:spacing w:after="0"/>
              <w:rPr>
                <w:sz w:val="16"/>
                <w:szCs w:val="16"/>
                <w:color w:val="auto"/>
              </w:rPr>
            </w:pPr>
          </w:p>
        </w:tc>
        <w:tc>
          <w:tcPr>
            <w:tcW w:w="154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13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0" w:type="dxa"/>
            <w:vAlign w:val="bottom"/>
            <w:gridSpan w:val="3"/>
          </w:tcPr>
          <w:p>
            <w:pPr>
              <w:jc w:val="center"/>
              <w:ind w:left="86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3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Unallocated corporate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80,590</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6"/>
                <w:szCs w:val="16"/>
                <w:color w:val="auto"/>
              </w:rPr>
              <w:t>54,268</w:t>
            </w:r>
          </w:p>
        </w:tc>
        <w:tc>
          <w:tcPr>
            <w:tcW w:w="3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40" w:type="dxa"/>
            <w:vAlign w:val="bottom"/>
            <w:shd w:val="clear" w:color="auto" w:fill="CCEEFF"/>
          </w:tcPr>
          <w:p>
            <w:pPr>
              <w:jc w:val="right"/>
              <w:ind w:right="424"/>
              <w:spacing w:after="0"/>
              <w:rPr>
                <w:sz w:val="20"/>
                <w:szCs w:val="20"/>
                <w:color w:val="auto"/>
              </w:rPr>
            </w:pPr>
            <w:r>
              <w:rPr>
                <w:rFonts w:ascii="Times New Roman" w:cs="Times New Roman" w:eastAsia="Times New Roman" w:hAnsi="Times New Roman"/>
                <w:sz w:val="16"/>
                <w:szCs w:val="16"/>
                <w:color w:val="auto"/>
              </w:rPr>
              <w:t>26,322</w:t>
            </w:r>
          </w:p>
        </w:tc>
        <w:tc>
          <w:tcPr>
            <w:tcW w:w="132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6"/>
                <w:szCs w:val="16"/>
                <w:color w:val="auto"/>
              </w:rPr>
              <w:t>48.5 %</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0" w:type="dxa"/>
            <w:vAlign w:val="bottom"/>
          </w:tcPr>
          <w:p>
            <w:pPr>
              <w:spacing w:after="0"/>
              <w:rPr>
                <w:sz w:val="1"/>
                <w:szCs w:val="1"/>
                <w:color w:val="auto"/>
              </w:rPr>
            </w:pPr>
          </w:p>
        </w:tc>
      </w:tr>
      <w:tr>
        <w:trPr>
          <w:trHeight w:val="210"/>
        </w:trPr>
        <w:tc>
          <w:tcPr>
            <w:tcW w:w="27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Unallocated corporate % of revenue</w:t>
            </w:r>
          </w:p>
        </w:tc>
        <w:tc>
          <w:tcPr>
            <w:tcW w:w="1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3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320" w:type="dxa"/>
            <w:vAlign w:val="bottom"/>
          </w:tcPr>
          <w:p>
            <w:pPr>
              <w:jc w:val="right"/>
              <w:ind w:right="142"/>
              <w:spacing w:after="0"/>
              <w:rPr>
                <w:sz w:val="20"/>
                <w:szCs w:val="20"/>
                <w:color w:val="auto"/>
              </w:rPr>
            </w:pPr>
            <w:r>
              <w:rPr>
                <w:rFonts w:ascii="Times New Roman" w:cs="Times New Roman" w:eastAsia="Times New Roman" w:hAnsi="Times New Roman"/>
                <w:sz w:val="16"/>
                <w:szCs w:val="16"/>
                <w:color w:val="auto"/>
              </w:rPr>
              <w:t>260 bps</w:t>
            </w: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Unallocated corporate costs consist of selling, general and administrative expenses that are not directly related or allocated to the reportable</w:t>
      </w:r>
    </w:p>
    <w:p>
      <w:pPr>
        <w:spacing w:after="0" w:line="2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segments. The increase in unallocated corporate costs of $26.3 million, or 48.5%, compared to the corresponding period in 2025 is primarily due to higher acquisition, integration and divestiture costs primarily associated with our previously discussed activities, increased stock-based compensation expense related to our recently announced transition of executives, higher professional services fees related to enterprise-wide efficiency initiatives; partially offset by the gain on sale of certain assets at our Wilmington, Massachusetts site. Costs as a percentage of revenue for the three months ended March 28, 2026 were 8.1%, an increase of 260 bps from 5.5% for the corresponding period in 2025.</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0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540" w:type="dxa"/>
            <w:vAlign w:val="bottom"/>
            <w:vMerge w:val="restart"/>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2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gridSpan w:val="4"/>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4"/>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7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1,404</w:t>
            </w:r>
          </w:p>
        </w:tc>
        <w:tc>
          <w:tcPr>
            <w:tcW w:w="10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(371)</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w:t>
            </w:r>
          </w:p>
        </w:tc>
        <w:tc>
          <w:tcPr>
            <w:tcW w:w="0" w:type="dxa"/>
            <w:vAlign w:val="bottom"/>
          </w:tcPr>
          <w:p>
            <w:pPr>
              <w:spacing w:after="0"/>
              <w:rPr>
                <w:sz w:val="1"/>
                <w:szCs w:val="1"/>
                <w:color w:val="auto"/>
              </w:rPr>
            </w:pPr>
          </w:p>
        </w:tc>
      </w:tr>
      <w:tr>
        <w:trPr>
          <w:trHeight w:val="219"/>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(27,884)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1,142</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0" w:type="dxa"/>
            <w:vAlign w:val="bottom"/>
          </w:tcPr>
          <w:p>
            <w:pPr>
              <w:spacing w:after="0"/>
              <w:rPr>
                <w:sz w:val="1"/>
                <w:szCs w:val="1"/>
                <w:color w:val="auto"/>
              </w:rPr>
            </w:pPr>
          </w:p>
        </w:tc>
      </w:tr>
      <w:tr>
        <w:trPr>
          <w:trHeight w:val="213"/>
        </w:trPr>
        <w:tc>
          <w:tcPr>
            <w:tcW w:w="2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(expense) income, net</w:t>
            </w: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(124,130)</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(12,211)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(111,919)</w:t>
            </w:r>
          </w:p>
        </w:tc>
        <w:tc>
          <w:tcPr>
            <w:tcW w:w="15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916.5 %</w:t>
            </w:r>
          </w:p>
        </w:tc>
        <w:tc>
          <w:tcPr>
            <w:tcW w:w="0" w:type="dxa"/>
            <w:vAlign w:val="bottom"/>
          </w:tcPr>
          <w:p>
            <w:pPr>
              <w:spacing w:after="0"/>
              <w:rPr>
                <w:sz w:val="1"/>
                <w:szCs w:val="1"/>
                <w:color w:val="auto"/>
              </w:rPr>
            </w:pPr>
          </w:p>
        </w:tc>
      </w:tr>
      <w:tr>
        <w:trPr>
          <w:trHeight w:val="237"/>
        </w:trPr>
        <w:tc>
          <w:tcPr>
            <w:tcW w:w="270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Total other expense,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(149,839)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(38,691)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(111,148)</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287.3 %</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Interest income for the three months ended March 28, 2026 was $1.0 million, a decrease of $0.4 million, or 26.4%, driven primarily from lower interest earning asset balances.</w:t>
      </w:r>
    </w:p>
    <w:p>
      <w:pPr>
        <w:spacing w:after="0" w:line="54"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Interest expense for the three months ended March 28, 2026 was $26.7 million, a decrease of $1.1 million, or 4.1%, compared to $27.9 million in the corresponding period in 2025 due primarily to lower average interest rates on our debt balances within our revolving credit facility.</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2" w:name="page33"/>
    <w:bookmarkEnd w:id="3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Other expense, net for the three months ended March 28, 2026 was $124.1 million compared to $12.2 million for the corresponding period in 2025 due principally to the loss on assets held for sale of $118.0 million in connection with the CDMO and Cell Solutions Divestiture and venture capital and strategic equity investment losses and impairments of $1.1 million as compared to $10.4 million in 2025.</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69"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80" w:type="dxa"/>
            <w:vAlign w:val="bottom"/>
            <w:gridSpan w:val="3"/>
          </w:tcPr>
          <w:p>
            <w:pPr>
              <w:jc w:val="right"/>
              <w:ind w:right="74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1260" w:type="dxa"/>
            <w:vAlign w:val="bottom"/>
            <w:vMerge w:val="restart"/>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203"/>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20" w:type="dxa"/>
            <w:vAlign w:val="bottom"/>
          </w:tcPr>
          <w:p>
            <w:pPr>
              <w:spacing w:after="0"/>
              <w:rPr>
                <w:sz w:val="16"/>
                <w:szCs w:val="16"/>
                <w:color w:val="auto"/>
              </w:rPr>
            </w:pPr>
          </w:p>
        </w:tc>
        <w:tc>
          <w:tcPr>
            <w:tcW w:w="1260" w:type="dxa"/>
            <w:vAlign w:val="bottom"/>
          </w:tcPr>
          <w:p>
            <w:pPr>
              <w:jc w:val="right"/>
              <w:ind w:right="163"/>
              <w:spacing w:after="0"/>
              <w:rPr>
                <w:sz w:val="20"/>
                <w:szCs w:val="20"/>
                <w:color w:val="auto"/>
              </w:rPr>
            </w:pPr>
            <w:r>
              <w:rPr>
                <w:rFonts w:ascii="Times New Roman" w:cs="Times New Roman" w:eastAsia="Times New Roman" w:hAnsi="Times New Roman"/>
                <w:sz w:val="14"/>
                <w:szCs w:val="14"/>
                <w:b w:val="1"/>
                <w:bCs w:val="1"/>
                <w:color w:val="auto"/>
              </w:rPr>
              <w:t>March 29, 2025</w:t>
            </w:r>
          </w:p>
        </w:tc>
        <w:tc>
          <w:tcPr>
            <w:tcW w:w="340" w:type="dxa"/>
            <w:vAlign w:val="bottom"/>
          </w:tcPr>
          <w:p>
            <w:pPr>
              <w:spacing w:after="0"/>
              <w:rPr>
                <w:sz w:val="16"/>
                <w:szCs w:val="16"/>
                <w:color w:val="auto"/>
              </w:rPr>
            </w:pPr>
          </w:p>
        </w:tc>
        <w:tc>
          <w:tcPr>
            <w:tcW w:w="130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6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90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2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00" w:type="dxa"/>
            <w:vAlign w:val="bottom"/>
            <w:gridSpan w:val="3"/>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7"/>
        </w:trPr>
        <w:tc>
          <w:tcPr>
            <w:tcW w:w="2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0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(29,942)</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123"/>
              <w:spacing w:after="0"/>
              <w:rPr>
                <w:sz w:val="20"/>
                <w:szCs w:val="20"/>
                <w:color w:val="auto"/>
              </w:rPr>
            </w:pPr>
            <w:r>
              <w:rPr>
                <w:rFonts w:ascii="Times New Roman" w:cs="Times New Roman" w:eastAsia="Times New Roman" w:hAnsi="Times New Roman"/>
                <w:sz w:val="16"/>
                <w:szCs w:val="16"/>
                <w:color w:val="auto"/>
              </w:rPr>
              <w:t>35,978</w:t>
            </w:r>
          </w:p>
        </w:tc>
        <w:tc>
          <w:tcPr>
            <w:tcW w:w="3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CCEEFF"/>
          </w:tcPr>
          <w:p>
            <w:pPr>
              <w:jc w:val="right"/>
              <w:ind w:right="202"/>
              <w:spacing w:after="0"/>
              <w:rPr>
                <w:sz w:val="20"/>
                <w:szCs w:val="20"/>
                <w:color w:val="auto"/>
              </w:rPr>
            </w:pPr>
            <w:r>
              <w:rPr>
                <w:rFonts w:ascii="Times New Roman" w:cs="Times New Roman" w:eastAsia="Times New Roman" w:hAnsi="Times New Roman"/>
                <w:sz w:val="16"/>
                <w:szCs w:val="16"/>
                <w:color w:val="auto"/>
              </w:rPr>
              <w:t>(65,920)</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c>
          <w:tcPr>
            <w:tcW w:w="0" w:type="dxa"/>
            <w:vAlign w:val="bottom"/>
          </w:tcPr>
          <w:p>
            <w:pPr>
              <w:spacing w:after="0"/>
              <w:rPr>
                <w:sz w:val="1"/>
                <w:szCs w:val="1"/>
                <w:color w:val="auto"/>
              </w:rPr>
            </w:pPr>
          </w:p>
        </w:tc>
      </w:tr>
      <w:tr>
        <w:trPr>
          <w:trHeight w:val="213"/>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(benefit) for income taxes</w:t>
            </w:r>
          </w:p>
        </w:tc>
        <w:tc>
          <w:tcPr>
            <w:tcW w:w="180" w:type="dxa"/>
            <w:vAlign w:val="bottom"/>
          </w:tcPr>
          <w:p>
            <w:pPr>
              <w:spacing w:after="0"/>
              <w:rPr>
                <w:sz w:val="18"/>
                <w:szCs w:val="18"/>
                <w:color w:val="auto"/>
              </w:rPr>
            </w:pPr>
          </w:p>
        </w:tc>
        <w:tc>
          <w:tcPr>
            <w:tcW w:w="130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(15,140)</w:t>
            </w:r>
          </w:p>
        </w:tc>
        <w:tc>
          <w:tcPr>
            <w:tcW w:w="220" w:type="dxa"/>
            <w:vAlign w:val="bottom"/>
          </w:tcPr>
          <w:p>
            <w:pPr>
              <w:spacing w:after="0"/>
              <w:rPr>
                <w:sz w:val="18"/>
                <w:szCs w:val="18"/>
                <w:color w:val="auto"/>
              </w:rPr>
            </w:pPr>
          </w:p>
        </w:tc>
        <w:tc>
          <w:tcPr>
            <w:tcW w:w="1260" w:type="dxa"/>
            <w:vAlign w:val="bottom"/>
          </w:tcPr>
          <w:p>
            <w:pPr>
              <w:jc w:val="right"/>
              <w:ind w:right="123"/>
              <w:spacing w:after="0"/>
              <w:rPr>
                <w:sz w:val="20"/>
                <w:szCs w:val="20"/>
                <w:color w:val="auto"/>
              </w:rPr>
            </w:pPr>
            <w:r>
              <w:rPr>
                <w:rFonts w:ascii="Times New Roman" w:cs="Times New Roman" w:eastAsia="Times New Roman" w:hAnsi="Times New Roman"/>
                <w:sz w:val="16"/>
                <w:szCs w:val="16"/>
                <w:color w:val="auto"/>
              </w:rPr>
              <w:t>10,100</w:t>
            </w:r>
          </w:p>
        </w:tc>
        <w:tc>
          <w:tcPr>
            <w:tcW w:w="340" w:type="dxa"/>
            <w:vAlign w:val="bottom"/>
          </w:tcPr>
          <w:p>
            <w:pPr>
              <w:spacing w:after="0"/>
              <w:rPr>
                <w:sz w:val="18"/>
                <w:szCs w:val="18"/>
                <w:color w:val="auto"/>
              </w:rPr>
            </w:pPr>
          </w:p>
        </w:tc>
        <w:tc>
          <w:tcPr>
            <w:tcW w:w="1300" w:type="dxa"/>
            <w:vAlign w:val="bottom"/>
          </w:tcPr>
          <w:p>
            <w:pPr>
              <w:jc w:val="right"/>
              <w:ind w:right="202"/>
              <w:spacing w:after="0"/>
              <w:rPr>
                <w:sz w:val="20"/>
                <w:szCs w:val="20"/>
                <w:color w:val="auto"/>
              </w:rPr>
            </w:pPr>
            <w:r>
              <w:rPr>
                <w:rFonts w:ascii="Times New Roman" w:cs="Times New Roman" w:eastAsia="Times New Roman" w:hAnsi="Times New Roman"/>
                <w:sz w:val="16"/>
                <w:szCs w:val="16"/>
                <w:color w:val="auto"/>
              </w:rPr>
              <w:t>(25,240)</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0" w:type="dxa"/>
            <w:vAlign w:val="bottom"/>
          </w:tcPr>
          <w:p>
            <w:pPr>
              <w:spacing w:after="0"/>
              <w:rPr>
                <w:sz w:val="1"/>
                <w:szCs w:val="1"/>
                <w:color w:val="auto"/>
              </w:rPr>
            </w:pPr>
          </w:p>
        </w:tc>
      </w:tr>
      <w:tr>
        <w:trPr>
          <w:trHeight w:val="219"/>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Effective tax rate</w:t>
            </w: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50.6 %</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28.1 %</w:t>
            </w:r>
          </w:p>
        </w:tc>
        <w:tc>
          <w:tcPr>
            <w:tcW w:w="3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2,250 bps</w:t>
            </w: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Income tax benefit for the three months ended March 28, 2026 was $15.1 million, compared to income tax expense of $10.1 million for the corresponding period in 2025. Our effective tax rate was 50.6% for the three months ended March 28, 2026 compared to 28.1% for the corresponding period in 2025. The difference in our effective tax rate in the three months ended March 28, 2026 compared to the corresponding period in 2025 was primarily attributable to the tax effects of the $118.0 million loss on assets held for sale in connection with the CDMO and Cell Solutions Divestiture, as well accrued interest relating to acquired uncertain tax positions during the three months ended March 28,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Liquidity and Cash Flows</w:t>
      </w:r>
    </w:p>
    <w:p>
      <w:pPr>
        <w:spacing w:after="0" w:line="11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general we require cash to fund our working capital needs, capital expansion, acquisitions, debt payments, lease payments, venture capital and strategic equity investments, restructuring initiatives, and pension obligations. Our principal sources of liquidity have been our cash flows from operations supplemented by long-term borrowings. Based on our current business plan, we believe that our existing funds, when combined with cash generated from operations and our access to financing resources, are sufficient to fund our operations for the foreseeable future.</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cash equivalents and short-term investments: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420" w:type="dxa"/>
            <w:vAlign w:val="bottom"/>
          </w:tcPr>
          <w:p>
            <w:pPr>
              <w:spacing w:after="0"/>
              <w:rPr>
                <w:sz w:val="3"/>
                <w:szCs w:val="3"/>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3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Held in U.S. entities</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4,514</w:t>
            </w:r>
          </w:p>
        </w:tc>
      </w:tr>
      <w:tr>
        <w:trPr>
          <w:trHeight w:val="246"/>
        </w:trPr>
        <w:tc>
          <w:tcPr>
            <w:tcW w:w="66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Held in non-U.S. entities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190,424</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209,256</w:t>
            </w:r>
          </w:p>
        </w:tc>
      </w:tr>
      <w:tr>
        <w:trPr>
          <w:trHeight w:val="243"/>
        </w:trPr>
        <w:tc>
          <w:tcPr>
            <w:tcW w:w="66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cash and cash equivalents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191,830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213,770</w:t>
            </w:r>
          </w:p>
        </w:tc>
      </w:tr>
      <w:tr>
        <w:trPr>
          <w:trHeight w:val="21"/>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provided by operating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1"/>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36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25,878</w:t>
            </w: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161,958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144,532</w:t>
            </w:r>
          </w:p>
        </w:tc>
      </w:tr>
      <w:tr>
        <w:trPr>
          <w:trHeight w:val="24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assets and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(106,079)</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1,287</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41,077</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171,697</w:t>
            </w:r>
          </w:p>
        </w:tc>
      </w:tr>
      <w:tr>
        <w:trPr>
          <w:trHeight w:val="20"/>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Net cash provided by operating activities represents the cash receipts and disbursements related to all of our activities other than investing and financing activities. Operating cash flow is derived by adjusting our net income for (1) non-cash operating items such as depreciation and amortization, stock-based compensation, goodwill impairment, debt financing costs, deferred income taxes, write downs of inventories, provisions of credit losses, long-lived asset impairment changes, gains and/or losses on venture capital and strategic equity investments, gains and/or losses on divestitures, changes in fair value of contingent consideration, as well as (2) changes in operating assets and liabilities, which reflect timing differences between the receipt and payment of cash associated with transactions and when they are recognized in our results of operations.</w:t>
      </w:r>
    </w:p>
    <w:p>
      <w:pPr>
        <w:spacing w:after="0" w:line="79"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28, 2026, our cash flows from operations were $41.1 million compared with $171.7 million for the same period in 2025. The decrease was primarily related to higher payments of variable compensation, specifically annual incentive based bonuses paid during the first quarter.</w:t>
      </w:r>
    </w:p>
    <w:p>
      <w:pPr>
        <w:sectPr>
          <w:pgSz w:w="11900" w:h="16838" w:orient="portrait"/>
          <w:cols w:equalWidth="0" w:num="1">
            <w:col w:w="11200"/>
          </w:cols>
          <w:pgMar w:left="320" w:top="1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type w:val="continuous"/>
        </w:sectPr>
      </w:pPr>
    </w:p>
    <w:bookmarkStart w:id="33" w:name="page34"/>
    <w:bookmarkEnd w:id="33"/>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used in investing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Acquisition of businesses and assets, net of cash acquired</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(405,006)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Capital expenditures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(59,324)</w:t>
            </w:r>
          </w:p>
        </w:tc>
      </w:tr>
      <w:tr>
        <w:trPr>
          <w:trHeight w:val="25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Investments, net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(5,570)</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(3,700)</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Proceeds from sale of businesses and assets, net</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60,096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17,441</w:t>
            </w:r>
          </w:p>
        </w:tc>
      </w:tr>
      <w:tr>
        <w:trPr>
          <w:trHeight w:val="239"/>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(1,457)</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43"/>
        </w:trPr>
        <w:tc>
          <w:tcPr>
            <w:tcW w:w="66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(407,845)</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(45,479)</w:t>
            </w:r>
          </w:p>
        </w:tc>
      </w:tr>
      <w:tr>
        <w:trPr>
          <w:trHeight w:val="21"/>
        </w:trPr>
        <w:tc>
          <w:tcPr>
            <w:tcW w:w="6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Investing activities primarily consist of cash used to fund capital expenditures to support the growth of our business, purchases and sales of investments related to our venture capital and strategic equity investment portfolios, and asset and business acquisitions, periodically offset by cash from divestitures.</w:t>
      </w:r>
    </w:p>
    <w:p>
      <w:pPr>
        <w:spacing w:after="0" w:line="32"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28, 2026, cash used in investing activities was primarily driven by the acquisition of the Cambodian NHP Supplier coupled with capital expenditures partially offset by proceeds from the sale of certain assets at our Wilmington, Massachusetts site.</w:t>
      </w:r>
    </w:p>
    <w:p>
      <w:pPr>
        <w:spacing w:after="0" w:line="5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29, 2025, cash used in investing activities was primarily driven by capital expenditures partially offset by proceeds from divestitures of certain site and business assets.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net cash provided by financing activities:</w:t>
      </w:r>
    </w:p>
    <w:p>
      <w:pPr>
        <w:spacing w:after="0" w:line="165" w:lineRule="exact"/>
        <w:rPr>
          <w:sz w:val="20"/>
          <w:szCs w:val="20"/>
          <w:color w:val="auto"/>
        </w:rPr>
      </w:pPr>
    </w:p>
    <w:tbl>
      <w:tblPr>
        <w:tblLayout w:type="fixed"/>
        <w:tblInd w:w="66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46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200" w:type="dxa"/>
            <w:vAlign w:val="bottom"/>
          </w:tcPr>
          <w:p>
            <w:pPr>
              <w:spacing w:after="0"/>
              <w:rPr>
                <w:sz w:val="16"/>
                <w:szCs w:val="16"/>
                <w:color w:val="auto"/>
              </w:rPr>
            </w:pPr>
          </w:p>
        </w:tc>
        <w:tc>
          <w:tcPr>
            <w:tcW w:w="13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March 29, 2025</w:t>
            </w:r>
          </w:p>
        </w:tc>
      </w:tr>
      <w:tr>
        <w:trPr>
          <w:trHeight w:val="37"/>
        </w:trPr>
        <w:tc>
          <w:tcPr>
            <w:tcW w:w="660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6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4"/>
          </w:tcPr>
          <w:p>
            <w:pPr>
              <w:jc w:val="right"/>
              <w:ind w:right="110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6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4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long-term debt and revolving credit facility</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912,462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416,341</w:t>
            </w:r>
          </w:p>
        </w:tc>
      </w:tr>
      <w:tr>
        <w:trPr>
          <w:trHeight w:val="240"/>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Payments on long-term debt, revolving credit facility, and finance lease obligations</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(355,676)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(149,394)</w:t>
            </w:r>
          </w:p>
        </w:tc>
      </w:tr>
      <w:tr>
        <w:trPr>
          <w:trHeight w:val="246"/>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exercises of stock options</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33"/>
        </w:trPr>
        <w:tc>
          <w:tcPr>
            <w:tcW w:w="6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Purchase of treasury stock</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(208,285)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(353,132)</w:t>
            </w:r>
          </w:p>
        </w:tc>
      </w:tr>
      <w:tr>
        <w:trPr>
          <w:trHeight w:val="25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Purchase of remaining equity interest of other redeemable noncontrolling interest</w:t>
            </w:r>
          </w:p>
        </w:tc>
        <w:tc>
          <w:tcPr>
            <w:tcW w:w="2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(19,140)</w:t>
            </w:r>
          </w:p>
        </w:tc>
      </w:tr>
      <w:tr>
        <w:trPr>
          <w:trHeight w:val="237"/>
        </w:trPr>
        <w:tc>
          <w:tcPr>
            <w:tcW w:w="6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(2,000)</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68"/>
        </w:trPr>
        <w:tc>
          <w:tcPr>
            <w:tcW w:w="66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347,724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(105,325)</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Financing activities primarily consist of the proceeds and repayments of debt and certain equity related transactions including treasury stock purchases and employee stock option exercises.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28, 2026, net cash provided by financing activities was primarily driven by the following activity:</w:t>
      </w:r>
    </w:p>
    <w:p>
      <w:pPr>
        <w:spacing w:after="0" w:line="117"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$557.7 million from our Credit Facility</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 purchases of $200.0 million associated with our stock repurchase program and $8.3 million due to the netting of common stock upon vesting of stock-based awards in order to satisfy individual statutory tax withholding requirements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29, 2025, net cash used in financing activities was primarily driven by the following activity:</w:t>
      </w:r>
    </w:p>
    <w:p>
      <w:pPr>
        <w:spacing w:after="0" w:line="117"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$267.5 million from our Credit Facility</w:t>
      </w:r>
    </w:p>
    <w:p>
      <w:pPr>
        <w:spacing w:after="0" w:line="117"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Treasury stock purchases of $350.0 million associated with our stock repurchase program and $3.1 million due to the netting of common stock upon vesting of stock-based awards in order to satisfy individual statutory tax withholding requirements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$19.1 million for the remaining 8% equity interest in an other redeemable noncontrolling interest</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and Market Risk</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are exposed to market risk from changes in interest rates and currency exchange rates, which could affect our future results of operations and financial condition. We manage our exposure to these risks through our regular operating and financing activities.</w:t>
      </w:r>
    </w:p>
    <w:p>
      <w:pPr>
        <w:sectPr>
          <w:pgSz w:w="11900" w:h="16838" w:orient="portrait"/>
          <w:cols w:equalWidth="0" w:num="1">
            <w:col w:w="11220"/>
          </w:cols>
          <w:pgMar w:left="320" w:top="117" w:right="359" w:bottom="1440" w:gutter="0" w:footer="0" w:header="0"/>
        </w:sectPr>
      </w:pP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Amounts outstanding under our Credit Facility and our Senior Notes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334645</wp:posOffset>
            </wp:positionV>
            <wp:extent cx="6240780"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Revolving facility</w:t>
      </w:r>
    </w:p>
    <w:p>
      <w:pPr>
        <w:spacing w:after="0" w:line="73"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4.25% Senior Notes due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20320</wp:posOffset>
            </wp:positionV>
            <wp:extent cx="6240780" cy="1543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40780" cy="154305"/>
                    </a:xfrm>
                    <a:prstGeom prst="rect">
                      <a:avLst/>
                    </a:prstGeom>
                    <a:noFill/>
                  </pic:spPr>
                </pic:pic>
              </a:graphicData>
            </a:graphic>
          </wp:anchor>
        </w:drawing>
      </w:r>
    </w:p>
    <w:p>
      <w:pPr>
        <w:spacing w:after="0" w:line="3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3.75% Senior Notes due 2029</w:t>
      </w:r>
    </w:p>
    <w:p>
      <w:pPr>
        <w:spacing w:after="0" w:line="59"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6"/>
          <w:szCs w:val="16"/>
          <w:color w:val="auto"/>
        </w:rPr>
        <w:t>4.00% Senior Notes due 2031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20320</wp:posOffset>
            </wp:positionV>
            <wp:extent cx="6240780" cy="1797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40780" cy="179705"/>
                    </a:xfrm>
                    <a:prstGeom prst="rect">
                      <a:avLst/>
                    </a:prstGeom>
                    <a:noFill/>
                  </pic:spPr>
                </pic:pic>
              </a:graphicData>
            </a:graphic>
          </wp:anchor>
        </w:drawing>
      </w:r>
    </w:p>
    <w:p>
      <w:pPr>
        <w:spacing w:after="0" w:line="6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Total</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200" w:type="dxa"/>
            <w:vAlign w:val="bottom"/>
          </w:tcPr>
          <w:p>
            <w:pPr>
              <w:spacing w:after="0"/>
              <w:rPr>
                <w:sz w:val="16"/>
                <w:szCs w:val="16"/>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March 28, 2026</w:t>
            </w:r>
          </w:p>
        </w:tc>
        <w:tc>
          <w:tcPr>
            <w:tcW w:w="140" w:type="dxa"/>
            <w:vAlign w:val="bottom"/>
          </w:tcPr>
          <w:p>
            <w:pPr>
              <w:spacing w:after="0"/>
              <w:rPr>
                <w:sz w:val="16"/>
                <w:szCs w:val="16"/>
                <w:color w:val="auto"/>
              </w:rPr>
            </w:pPr>
          </w:p>
        </w:tc>
        <w:tc>
          <w:tcPr>
            <w:tcW w:w="142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27, 2025</w:t>
            </w:r>
          </w:p>
        </w:tc>
      </w:tr>
      <w:tr>
        <w:trPr>
          <w:trHeight w:val="37"/>
        </w:trPr>
        <w:tc>
          <w:tcPr>
            <w:tcW w:w="200" w:type="dxa"/>
            <w:vAlign w:val="bottom"/>
            <w:tcBorders>
              <w:bottom w:val="single" w:sz="8" w:color="auto"/>
            </w:tcBorders>
          </w:tcPr>
          <w:p>
            <w:pPr>
              <w:spacing w:after="0"/>
              <w:rPr>
                <w:sz w:val="3"/>
                <w:szCs w:val="3"/>
                <w:color w:val="auto"/>
              </w:rPr>
            </w:pPr>
          </w:p>
        </w:tc>
        <w:tc>
          <w:tcPr>
            <w:tcW w:w="3020" w:type="dxa"/>
            <w:vAlign w:val="bottom"/>
            <w:tcBorders>
              <w:bottom w:val="single" w:sz="8" w:color="auto"/>
            </w:tcBorders>
            <w:gridSpan w:val="4"/>
          </w:tcPr>
          <w:p>
            <w:pPr>
              <w:spacing w:after="0"/>
              <w:rPr>
                <w:sz w:val="3"/>
                <w:szCs w:val="3"/>
                <w:color w:val="auto"/>
              </w:rPr>
            </w:pPr>
          </w:p>
        </w:tc>
      </w:tr>
      <w:tr>
        <w:trPr>
          <w:trHeight w:val="186"/>
        </w:trPr>
        <w:tc>
          <w:tcPr>
            <w:tcW w:w="200" w:type="dxa"/>
            <w:vAlign w:val="bottom"/>
          </w:tcPr>
          <w:p>
            <w:pPr>
              <w:spacing w:after="0"/>
              <w:rPr>
                <w:sz w:val="16"/>
                <w:szCs w:val="16"/>
                <w:color w:val="auto"/>
              </w:rPr>
            </w:pPr>
          </w:p>
        </w:tc>
        <w:tc>
          <w:tcPr>
            <w:tcW w:w="3020" w:type="dxa"/>
            <w:vAlign w:val="bottom"/>
            <w:gridSpan w:val="4"/>
          </w:tcPr>
          <w:p>
            <w:pPr>
              <w:jc w:val="right"/>
              <w:ind w:right="110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61"/>
        </w:trPr>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1,165,073</w:t>
            </w:r>
          </w:p>
        </w:tc>
        <w:tc>
          <w:tcPr>
            <w:tcW w:w="10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616,503</w:t>
            </w: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43"/>
        </w:trPr>
        <w:tc>
          <w:tcPr>
            <w:tcW w:w="2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56"/>
        </w:trPr>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500,000</w:t>
            </w:r>
          </w:p>
        </w:tc>
      </w:tr>
      <w:tr>
        <w:trPr>
          <w:trHeight w:val="237"/>
        </w:trPr>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2,665,073</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2,116,503</w:t>
            </w:r>
          </w:p>
        </w:tc>
      </w:tr>
      <w:tr>
        <w:trPr>
          <w:trHeight w:val="27"/>
        </w:trPr>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bl>
    <w:p>
      <w:pPr>
        <w:spacing w:after="0" w:line="184" w:lineRule="exact"/>
        <w:rPr>
          <w:sz w:val="20"/>
          <w:szCs w:val="20"/>
          <w:color w:val="auto"/>
        </w:rPr>
      </w:pPr>
    </w:p>
    <w:p>
      <w:pPr>
        <w:sectPr>
          <w:pgSz w:w="11900" w:h="16838" w:orient="portrait"/>
          <w:cols w:equalWidth="0" w:num="2">
            <w:col w:w="6540" w:space="720"/>
            <w:col w:w="3960"/>
          </w:cols>
          <w:pgMar w:left="320" w:top="117" w:right="359" w:bottom="1440" w:gutter="0" w:footer="0" w:header="0"/>
          <w:type w:val="continuous"/>
        </w:sectPr>
      </w:pPr>
    </w:p>
    <w:p>
      <w:pPr>
        <w:spacing w:after="0" w:line="258" w:lineRule="auto"/>
        <w:rPr>
          <w:sz w:val="20"/>
          <w:szCs w:val="20"/>
          <w:color w:val="auto"/>
        </w:rPr>
      </w:pPr>
      <w:r>
        <w:rPr>
          <w:rFonts w:ascii="Times New Roman" w:cs="Times New Roman" w:eastAsia="Times New Roman" w:hAnsi="Times New Roman"/>
          <w:sz w:val="18"/>
          <w:szCs w:val="18"/>
          <w:color w:val="auto"/>
        </w:rPr>
        <w:t>The Credit Facility provides for up to $2.0 billion of multi-currency revolving credit and has a maturity date of December 2029, with no required scheduled payment before that date. The interest rates applicable to the revolving facility are equal to (A) for revolving loans denominated in U.S. dollars, at our option, either the base rate (which is the higher of (1) the prime rate, (2) the federal funds rate plus 0.50%, or (3) the one-month adjusted SOFR rate plus 1.0%) or the adjusted SOFR rate, (B) for revolving loans denominated in euros, the adjusted EURIBOR rate and (C) for revolving loans denominated in sterling, the daily simple SONIA rate, in each case, plus an interest rate margin based upon our leverage ratio.</w:t>
      </w:r>
    </w:p>
    <w:p>
      <w:pPr>
        <w:spacing w:after="0" w:line="75" w:lineRule="exact"/>
        <w:rPr>
          <w:sz w:val="20"/>
          <w:szCs w:val="20"/>
          <w:color w:val="auto"/>
        </w:rPr>
      </w:pPr>
    </w:p>
    <w:p>
      <w:pPr>
        <w:ind w:right="820"/>
        <w:spacing w:after="0" w:line="375" w:lineRule="auto"/>
        <w:rPr>
          <w:sz w:val="20"/>
          <w:szCs w:val="20"/>
          <w:color w:val="auto"/>
        </w:rPr>
      </w:pPr>
      <w:r>
        <w:rPr>
          <w:rFonts w:ascii="Times New Roman" w:cs="Times New Roman" w:eastAsia="Times New Roman" w:hAnsi="Times New Roman"/>
          <w:sz w:val="18"/>
          <w:szCs w:val="18"/>
          <w:color w:val="auto"/>
        </w:rPr>
        <w:t xml:space="preserve">Our off-balance sheet commitments related to our outstanding letters of credit as of March 28, 2026 and December 27, 2025 were $22.0 million. </w:t>
      </w:r>
      <w:r>
        <w:rPr>
          <w:rFonts w:ascii="Times New Roman" w:cs="Times New Roman" w:eastAsia="Times New Roman" w:hAnsi="Times New Roman"/>
          <w:sz w:val="18"/>
          <w:szCs w:val="18"/>
          <w:b w:val="1"/>
          <w:bCs w:val="1"/>
          <w:i w:val="1"/>
          <w:iCs w:val="1"/>
          <w:color w:val="auto"/>
        </w:rPr>
        <w:t>Foreign Currency Exchange Rate Risk</w:t>
      </w:r>
    </w:p>
    <w:p>
      <w:pPr>
        <w:spacing w:after="0" w:line="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We operate on a global basis and have exposure to foreign currency exchange rate fluctuations for our financial position, results of operations, and cash flows.</w:t>
      </w:r>
    </w:p>
    <w:p>
      <w:pPr>
        <w:spacing w:after="0" w:line="54"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While the financial results of our global activities are reported in U.S. dollars, our foreign subsidiaries typically conduct their operations in their respective local currency. The principal functional currencies of our foreign subsidiaries are the Euro, British Pound, and Canadian Dollar. During the three months ended March 28, 2026, the most significant drivers of foreign currency translation adjustment we recorded as part of Other comprehensive income (loss) were the British Pound, Canadian Dollar, Mauritian Rupee, Euro, Chinese Yuan, and Hungarian Forint.</w:t>
      </w:r>
    </w:p>
    <w:p>
      <w:pPr>
        <w:spacing w:after="0" w:line="7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Fluctuations in the foreign currency exchange rates of the countries in which we do business will affect our financial position, results of operations, and cash flows. As the U.S. dollar strengthens against other currencies, the value of our non-U.S. revenue, expenses, assets, liabilities, and cash flows will generally decline when reported in U.S. dollars. The impact to net income (loss) as a result of a U.S. dollar strengthening will be partially mitigated by the value of non-U.S. expenses, which will decline when reported in U.S. dollars. As the U.S. dollar weakens versus other currencies, the value of the non-U.S. revenue, expenses, assets, liabilities, and cash flows will generally increase when reported in U.S. dollars. For the three months ended March 28, 2026, our revenue would have decreased by $45.2 million, and our operating income would have decreased by $12.0 million, if the U.S. dollar exchange rate had strengthened by 10%, with all other variables held constant.</w:t>
      </w:r>
    </w:p>
    <w:p>
      <w:pPr>
        <w:spacing w:after="0" w:line="8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We attempt to minimize this exposure by using certain financial instruments in accordance with our overall risk management and our hedge policy. We do not enter into speculative derivative agreements.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Repurchases of Common Stock</w:t>
      </w:r>
    </w:p>
    <w:p>
      <w:pPr>
        <w:spacing w:after="0" w:line="121" w:lineRule="exact"/>
        <w:rPr>
          <w:sz w:val="20"/>
          <w:szCs w:val="20"/>
          <w:color w:val="auto"/>
        </w:rPr>
      </w:pPr>
    </w:p>
    <w:p>
      <w:pPr>
        <w:jc w:val="both"/>
        <w:ind w:right="340"/>
        <w:spacing w:after="0" w:line="266" w:lineRule="auto"/>
        <w:rPr>
          <w:sz w:val="20"/>
          <w:szCs w:val="20"/>
          <w:color w:val="auto"/>
        </w:rPr>
      </w:pPr>
      <w:r>
        <w:rPr>
          <w:rFonts w:ascii="Times New Roman" w:cs="Times New Roman" w:eastAsia="Times New Roman" w:hAnsi="Times New Roman"/>
          <w:sz w:val="18"/>
          <w:szCs w:val="18"/>
          <w:color w:val="auto"/>
        </w:rPr>
        <w:t>On October 29, 2025, our Board of Directors approved a stock repurchase program of $1.0 billion. During the three months ended March 28, 2026, we repurchased 1.1 million shares of common stock for $200.0 million under the stock repurchase program. As of March 28, 2026, we had $800.0 million remaining on the authorized $1.0 billion stock repurchase program.</w:t>
      </w:r>
    </w:p>
    <w:p>
      <w:pPr>
        <w:spacing w:after="0" w:line="68"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Additionally, our stock-based compensation plans permit the netting of common stock upon vesting of restricted stock, restricted stock units, and performance share units in order to satisfy individual statutory tax withholding requirements. During the three months ended March 28, 2026, we acquired less than 0.1 million shares for $8.3 million through such netting.</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is based upon our consolidated financial statements prepared in accordance with generally accepted accounting principles in the U.S. The preparation of these financial statements requires us to make certain estimates and assumptions that may affect the reported amounts of assets and liabilities, the reported amounts of revenues and expenses during the reported periods, and the related disclosures. These estimates and</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type w:val="continuous"/>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assumptions are monitored and analyzed by us for changes in facts and circumstances, and material changes in these estimates could occur in the future. We base our estimates on our historical experience, trends in the industry, and various other factors that are believed to be reasonable under the circumstances. Actual results may differ from our estimates under different assumptions or conditions.</w:t>
      </w:r>
    </w:p>
    <w:p>
      <w:pPr>
        <w:spacing w:after="0" w:line="68"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believe that the application of our accounting policies, each of which require significant judgments and estimates on the part of management, are the most critical to aid in fully understanding and evaluating our reported financial results. Our significant accounting policies are more fully described in Item 7, “Management’s Discussion and Analysis of Financial Condition and Results of Operations” of our Annual Report on Form 10-K for fiscal year 2025 as filed with the SEC on February 18, 2026. There have been no changes in the Company’s critical accounting policies during the three months ended March 28, 2026.</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For a discussion of recent accounting pronouncements please refer to Note 1, “Basis of Presentation,” in this Quarterly Report on Form 10-Q. Other than as discussed in Note 1, “Basis of Presentation,” we did not adopt any other new accounting pronouncements during the three months ended March 28, 2026 that had a significant effect on our unaudited condensed consolidated financial statements included in this Quarterly Report on Form 10-Q.</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Company’s exposure to market risk from changes in interest rates and currency exchange rates has not changed materially from its exposure discussed in the Company’s Annual Report on Form 10-K for the fiscal year ended December 27, 2025 as filed with the SEC on February 18, 2026. Our interest rate and currency exchange rate risks are fully described in Item 7, “Management’s Discussion and Analysis of Financial Condition and Results of Operations - Liquidity and Capital Resources” of our Annual Report on Form 10-K for fiscal year 2025 and in Item 2, “Management’s Discussion and Analysis of Financial Condition and Results of Operations - Liquidity and Capital Resources” herein.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Evaluation of Disclosure Controls and Procedures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Based on their evaluation, required by paragraph (b) of Rules 13a-15 or 15d-15, promulgated by the Securities Exchange Act of 1934, as amended (Exchange Act), the Company’s principal executive officer and principal financial officer have concluded that the Company’s disclosure controls and procedures, as defined in Rules 13a-15(e) and 15d-15(e) of the Exchange Act, are effective, at a reasonable assurance level, as of March 28, 2026, to ensure that information required to be disclosed by the Company in reports that it files or submits under the Exchange Act is recorded, processed, summarized and reported within the time periods specified in Securities and Exchange Commission rules and forms. Disclosure controls and procedures include, without limitation, controls and procedures designed to ensure that information required to be disclosed by the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our controls and procedures relative to their costs.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Changes in Internal Controls Over Financial Reporting</w:t>
      </w:r>
    </w:p>
    <w:p>
      <w:pPr>
        <w:spacing w:after="0" w:line="121" w:lineRule="exact"/>
        <w:rPr>
          <w:sz w:val="20"/>
          <w:szCs w:val="20"/>
          <w:color w:val="auto"/>
        </w:rPr>
      </w:pPr>
    </w:p>
    <w:p>
      <w:pPr>
        <w:jc w:val="both"/>
        <w:ind w:right="660"/>
        <w:spacing w:after="0" w:line="266" w:lineRule="auto"/>
        <w:rPr>
          <w:sz w:val="20"/>
          <w:szCs w:val="20"/>
          <w:color w:val="auto"/>
        </w:rPr>
      </w:pPr>
      <w:r>
        <w:rPr>
          <w:rFonts w:ascii="Times New Roman" w:cs="Times New Roman" w:eastAsia="Times New Roman" w:hAnsi="Times New Roman"/>
          <w:sz w:val="18"/>
          <w:szCs w:val="18"/>
          <w:color w:val="auto"/>
        </w:rPr>
        <w:t>There were no material changes in the Company’s internal control over financial reporting identified in connection with the evaluation required by paragraph (d) of the Exchange Act Rules 13a-15 or 15d-15 that occurred during the quarter ended March 28, 2026 that materially affected, or were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3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PART II. OTHER INFORMATION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A putative securities class action (Securities Class Action) was filed on May 19, 2023 against the Company and a number of its current/former officers in the United States District Court for the District of Massachusetts. On August 31, 2023, the court appointed the State Teachers Retirement System of Ohio as lead plaintiff. An amended complaint was filed on November 14, 2023 that, among other things, included only James Foster, the Chief Executive Officer and David R. Smith, the former Chief Financial Officer as defendants along with the Company. The amended complaint asserts claims under §§ 10(b) and 20(a) of the Securities Exchange Act of 1934 (the Exchange Act) on behalf of a putative class of purchasers of Company securities from May 5, 2020 through February 21, 2023, alleging that certain of the Company’s disclosures about its practices with respect to the importation of non-human primates made during the putative class period were materially false or misleading. On July 1, 2024, the court dismissed the complaint, denied the plaintiff’s informal request for leave to amend, and entered judgment for defendants. On July 30, the plaintiff filed a notice of appeal in the United States Court of Appeals for the First Circuit. Oral arguments took place on May 5, 2025. On August 15, 2025, the U.S. Court of Appeals for the First Circuit reversed in part the district court’s dismissal on the pleadings of the securities fraud claims. The case returned to U.S. District Court for the District of Massachusetts. On October 16, 2025, the plaintiff filed a motion to withdraw the State Teachers Retirement System of Ohio as lead plaintiff, due to lack of statutory standing, and substitute Oklahoma Firefighters Pension and Retirement System. While the Company cannot predict the final outcome of this matter, it believes the class action to be without merit and plans to vigorously defend against it. The Company cannot reasonably estimate the maximum potential exposure or the range of possible loss in association with this matter.</w:t>
      </w:r>
    </w:p>
    <w:p>
      <w:pPr>
        <w:spacing w:after="0" w:line="89"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 November 8, 2023, a stockholder filed a derivative lawsuit in the U.S. District Court of the District of Delaware asserting claims on the Company’s behalf against the members of the Company’s Board of Directors and certain of the Company’s current/former officers (James Foster, the Chief Executive Officer; David R. Smith, a former Chief Financial Officer; and Flavia Pease, a former Chief Financial Officer). The complaint alleges that the defendants breached their fiduciary duties to the Company and its stockholders because certain of the Company’s disclosures about its practices with respect to the importation of non-human primates were materially false or misleading. The complaint also alleges that the defendants breached their fiduciary duties by causing the Company to fail to maintain adequate internal controls over securities disclosure and compliance with applicable law and by failing to comply with the company’s Code of Business Conduct and Ethics. On August 2, 2024, a different stockholder filed a lawsuit in the U.S. District Court of Delaware asserting similar derivative claims on the Company’s behalf against members of the Company’s current and former Board of Directors and the same current/former officers based on similar allegations of purportedly misleading disclosures and non-compliance with legal rules and ethics standards in respect of the importation of non-human primates, as well as insider-trading claims against certain of the defendants. Both of these lawsuits are currently stayed by agreement of the parties pending further developments in the Securities Class Action pending in the United States Court of Appeals for the First Circuit. While the Company cannot predict the outcome of these matters, it believes the derivative lawsuits to be without merit and plans to vigorously defend against them. The Company cannot reasonably estimate the maximum potential exposure or the range of possible loss in association with these matters.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in Part I, “Item 1A. Risk Factors” in our Annual Report on Form 10-K for fiscal year 2025, which could materially affect our business, financial condition, and/or future results. The risks described in our Annual Report on Form 10-K are not the only risks we face. Additional risks and uncertainties not currently known to us or that we currently deem to be immaterial also may materially adversely affect our business, financial condition, and/or operating results. There have been no material changes to the risk factors set forth in our Annual Report on Form 10-K for fiscal year 2025 as filed with the SEC on February 18, 2026, except as disclosed below.</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experienced and in the future could experience unauthorized access into our information systems.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We operate large and complex information systems that contain significant amounts of client data. As a routine element of our business, we collect, analyze and retain substantial amounts of data pertaining to the non-clinical studies we conduct for our clients. Unauthorized third parties could attempt to gain entry to such information systems to steal data or disrupt the systems or for financial gain. Like other companies, we have on occasion experienced, and will continue to experience, threats and incursions to our data and systems, including malicious software and viruses, phishing, business email compromise and social engineering attacks, network intrusions, or other cyber-attacks. The number and complexity of these threats continue to increase over time. These threats also may be further enhanced in frequency or effectiveness through threat actors’ use of artificial intelligence technologies, which are becoming more widely adopted and increasingly sophisticated.</w:t>
      </w:r>
    </w:p>
    <w:p>
      <w:pPr>
        <w:spacing w:after="0" w:line="81"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In response to past cybersecurity incidents, we have implemented additional security safeguards and continually work to enhance existing safeguards; however, such efforts may not be successful, in which case we could suffer significant harm.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are at risk of being targeted, and we have in the past been victim to, business email compromise fraud, which results in payments being made to illegitimate bank accounts. Although these instances have not resulted in our incurring material losses, if similar instances occur in the future, we may incur such losses.</w:t>
      </w:r>
    </w:p>
    <w:p>
      <w:pPr>
        <w:spacing w:after="0" w:line="68"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We have recently become aware of unauthorized access to certain information systems of the Company. The incident involved a social engineering attack in which a threat actor impersonated a trusted party and obtained employee access credentials from a small number of employees. We identified the incident and immediately activated our cyber incident response plan to contain the intrusion, assess and investigate the incident and implement remedial measures. Based on the information reviewed to date, we believe the unauthorized activity has been contained and did not result in any material disruption to our information systems. We are currently in the process of ascertaining what, if any, information was exfiltrated, including whether there was any compromise of sensitive and/or personal identifiable information contained within the accessed information systems. As of the date hereof, the Company believes that this cybersecurity incident has not had a material impact on the Company’s financial systems, operations or financial condition due in part to the Company’s previously implemented security safeguards.</w:t>
      </w:r>
    </w:p>
    <w:p>
      <w:pPr>
        <w:spacing w:after="0" w:line="8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As a result of this or any cybersecurity incident, we may be subject to business disruptions or governmental investigations, private litigation or other claims, which could result in fines, other monetary relief, or injunctive relief that could materially increase our data security costs, adversely impact how we operate our systems and collect and use personal information. If, as a result of any such governmental investigation, other investigation or claim, we are found to be in violation of applicable laws and regulations including, without limitation, any applicable data privacy and information security laws or regulations, we could be subject to legal risk, including governmental enforcement action and civil litigation, which could adversely affect our business, reputation, financial condition or results of operations. Defending any such litigation claim or enforcement action, regardless of merit, and whether successful or unsuccessful, and cooperating with regulatory investigations, could be expensive and time-consuming and adversely affect our business, reputation, results of operations or financial condition. In addition, we may be adversely impacted by reputational harm or a loss of confidence in the security and integrity of our information systems among customers, employees and business partners. There can be no assurance, however, that this cybersecurity incident or any future cybersecurity incidents will not have a material impact on the Company’s future operations, financial systems or financial condition.</w:t>
      </w:r>
    </w:p>
    <w:p>
      <w:pPr>
        <w:spacing w:after="0" w:line="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leverage software and hardware solutions from technology and services providers, including software-as-a-service and public cloud infrastructure, who have been subject to cybersecurity incidents in the past and may have incidents or breaches in the future. As of the date of this filing, to our knowledge, no prior cybersecurity incident or breach at a third party has had a material impact on our business. However, future incidents or breaches could cause us to suffer significant harm.</w:t>
      </w:r>
    </w:p>
    <w:p>
      <w:pPr>
        <w:spacing w:after="0" w:line="7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Our contracts with our clients typically contain provisions that require us to keep confidential the information generated from the studies we conduct. In the event the confidentiality of such information is compromised, whether by unauthorized access or other breaches, we could be exposed to significant harm, including termination of customer contracts, damage to our customer relationships, damage to our reputation and potential legal claims from customers, employees and other parties. In addition, we may face investigations by government regulators and agencies as a result of a breach.</w:t>
      </w:r>
    </w:p>
    <w:p>
      <w:pPr>
        <w:spacing w:after="0" w:line="72" w:lineRule="exact"/>
        <w:rPr>
          <w:sz w:val="20"/>
          <w:szCs w:val="20"/>
          <w:color w:val="auto"/>
        </w:rPr>
      </w:pPr>
    </w:p>
    <w:p>
      <w:pPr>
        <w:jc w:val="both"/>
        <w:ind w:right="40"/>
        <w:spacing w:after="0" w:line="312" w:lineRule="auto"/>
        <w:rPr>
          <w:sz w:val="20"/>
          <w:szCs w:val="20"/>
          <w:color w:val="auto"/>
        </w:rPr>
      </w:pPr>
      <w:r>
        <w:rPr>
          <w:rFonts w:ascii="Times New Roman" w:cs="Times New Roman" w:eastAsia="Times New Roman" w:hAnsi="Times New Roman"/>
          <w:sz w:val="17"/>
          <w:szCs w:val="17"/>
          <w:color w:val="auto"/>
        </w:rPr>
        <w:t>Additionally, the rapid ongoing evolution and increased adoption of emerging technologies such as artificial intelligence and machine learning may make it more difficult to anticipate and implement protective measures to recognize, detect, and prevent the occurrence of any of the cyber events described above.</w:t>
      </w:r>
    </w:p>
    <w:p>
      <w:pPr>
        <w:spacing w:after="0" w:line="32"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For information regarding our processes and practices related to information and cybersecurity, please see our Annual Report on Form 10-K for fiscal year 2025 as filed with the SEC on February 18, 2026, specifically Section 1C “Cybersecurity”.</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relating to the purchases of shares of our common stock during the three months ended March 28, 2026.</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Approximate Dollar</w:t>
            </w:r>
          </w:p>
        </w:tc>
      </w:tr>
      <w:tr>
        <w:trPr>
          <w:trHeight w:val="175"/>
        </w:trPr>
        <w:tc>
          <w:tcPr>
            <w:tcW w:w="3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Shares Purchased</w:t>
            </w: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Value of Shares</w:t>
            </w:r>
          </w:p>
        </w:tc>
      </w:tr>
      <w:tr>
        <w:trPr>
          <w:trHeight w:val="162"/>
        </w:trPr>
        <w:tc>
          <w:tcPr>
            <w:tcW w:w="374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0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Part of Publicly</w:t>
            </w: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That May Yet Be</w:t>
            </w:r>
          </w:p>
        </w:tc>
      </w:tr>
      <w:tr>
        <w:trPr>
          <w:trHeight w:val="175"/>
        </w:trPr>
        <w:tc>
          <w:tcPr>
            <w:tcW w:w="3740" w:type="dxa"/>
            <w:vAlign w:val="bottom"/>
          </w:tcPr>
          <w:p>
            <w:pPr>
              <w:spacing w:after="0"/>
              <w:rPr>
                <w:sz w:val="15"/>
                <w:szCs w:val="15"/>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Price Paid</w:t>
            </w:r>
          </w:p>
        </w:tc>
        <w:tc>
          <w:tcPr>
            <w:tcW w:w="2020" w:type="dxa"/>
            <w:vAlign w:val="bottom"/>
            <w:gridSpan w:val="3"/>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Purchased Under</w:t>
            </w:r>
          </w:p>
        </w:tc>
      </w:tr>
      <w:tr>
        <w:trPr>
          <w:trHeight w:val="204"/>
        </w:trPr>
        <w:tc>
          <w:tcPr>
            <w:tcW w:w="3740" w:type="dxa"/>
            <w:vAlign w:val="bottom"/>
          </w:tcPr>
          <w:p>
            <w:pPr>
              <w:spacing w:after="0"/>
              <w:rPr>
                <w:sz w:val="17"/>
                <w:szCs w:val="17"/>
                <w:color w:val="auto"/>
              </w:rPr>
            </w:pP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20" w:type="dxa"/>
            <w:vAlign w:val="bottom"/>
            <w:gridSpan w:val="2"/>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02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the Plans or Programs</w:t>
            </w:r>
          </w:p>
        </w:tc>
      </w:tr>
      <w:tr>
        <w:trPr>
          <w:trHeight w:val="23"/>
        </w:trPr>
        <w:tc>
          <w:tcPr>
            <w:tcW w:w="374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6"/>
        </w:trPr>
        <w:tc>
          <w:tcPr>
            <w:tcW w:w="374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tcPr>
          <w:p>
            <w:pPr>
              <w:jc w:val="center"/>
              <w:ind w:right="8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7"/>
        </w:trPr>
        <w:tc>
          <w:tcPr>
            <w:tcW w:w="3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40" w:type="dxa"/>
            <w:vAlign w:val="bottom"/>
          </w:tcPr>
          <w:p>
            <w:pPr>
              <w:spacing w:after="0"/>
              <w:rPr>
                <w:sz w:val="3"/>
                <w:szCs w:val="3"/>
                <w:color w:val="auto"/>
              </w:rPr>
            </w:pPr>
          </w:p>
        </w:tc>
        <w:tc>
          <w:tcPr>
            <w:tcW w:w="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40" w:type="dxa"/>
            <w:vAlign w:val="bottom"/>
          </w:tcPr>
          <w:p>
            <w:pPr>
              <w:spacing w:after="0"/>
              <w:rPr>
                <w:sz w:val="3"/>
                <w:szCs w:val="3"/>
                <w:color w:val="auto"/>
              </w:rPr>
            </w:pPr>
          </w:p>
        </w:tc>
      </w:tr>
      <w:tr>
        <w:trPr>
          <w:trHeight w:val="24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December 28, 2025 to January 24, 2026</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200.95</w:t>
            </w:r>
          </w:p>
        </w:tc>
        <w:tc>
          <w:tcPr>
            <w:tcW w:w="80" w:type="dxa"/>
            <w:vAlign w:val="bottom"/>
            <w:shd w:val="clear" w:color="auto" w:fill="CCEEFF"/>
          </w:tcPr>
          <w:p>
            <w:pPr>
              <w:spacing w:after="0"/>
              <w:rPr>
                <w:sz w:val="21"/>
                <w:szCs w:val="21"/>
                <w:color w:val="auto"/>
              </w:rPr>
            </w:pPr>
          </w:p>
        </w:tc>
        <w:tc>
          <w:tcPr>
            <w:tcW w:w="2020" w:type="dxa"/>
            <w:vAlign w:val="bottom"/>
            <w:gridSpan w:val="3"/>
            <w:shd w:val="clear" w:color="auto" w:fill="CCEEFF"/>
          </w:tcPr>
          <w:p>
            <w:pPr>
              <w:ind w:left="1540"/>
              <w:spacing w:after="0"/>
              <w:rPr>
                <w:sz w:val="20"/>
                <w:szCs w:val="20"/>
                <w:color w:val="auto"/>
              </w:rPr>
            </w:pPr>
            <w:r>
              <w:rPr>
                <w:rFonts w:ascii="Times New Roman" w:cs="Times New Roman" w:eastAsia="Times New Roman" w:hAnsi="Times New Roman"/>
                <w:sz w:val="16"/>
                <w:szCs w:val="16"/>
                <w:color w:val="auto"/>
              </w:rPr>
              <w:t>—  $</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1,000,000</w:t>
            </w:r>
          </w:p>
        </w:tc>
      </w:tr>
      <w:tr>
        <w:trPr>
          <w:trHeight w:val="233"/>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January 25, 2026 to February 21, 2026</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38,961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4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211.68</w:t>
            </w:r>
          </w:p>
        </w:tc>
        <w:tc>
          <w:tcPr>
            <w:tcW w:w="80" w:type="dxa"/>
            <w:vAlign w:val="bottom"/>
          </w:tcPr>
          <w:p>
            <w:pPr>
              <w:spacing w:after="0"/>
              <w:rPr>
                <w:sz w:val="20"/>
                <w:szCs w:val="20"/>
                <w:color w:val="auto"/>
              </w:rPr>
            </w:pPr>
          </w:p>
        </w:tc>
        <w:tc>
          <w:tcPr>
            <w:tcW w:w="202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1,000,000</w:t>
            </w:r>
          </w:p>
        </w:tc>
      </w:tr>
      <w:tr>
        <w:trPr>
          <w:trHeight w:val="24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February 22, 2026 to March 28, 2026</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1,135,552</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44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176.13</w:t>
            </w:r>
          </w:p>
        </w:tc>
        <w:tc>
          <w:tcPr>
            <w:tcW w:w="80" w:type="dxa"/>
            <w:vAlign w:val="bottom"/>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1,135,516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800,000</w:t>
            </w:r>
          </w:p>
        </w:tc>
      </w:tr>
      <w:tr>
        <w:trPr>
          <w:trHeight w:val="243"/>
        </w:trPr>
        <w:tc>
          <w:tcPr>
            <w:tcW w:w="37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Total</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1,174,671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1,135,516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0"/>
        </w:trPr>
        <w:tc>
          <w:tcPr>
            <w:tcW w:w="3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r>
    </w:tbl>
    <w:p>
      <w:pPr>
        <w:spacing w:after="0" w:line="157"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October 29, 2025, our Board of Directors approved, in aggregate, a stock repurchase program of $1.0 billion. During the three months ended March 28, 2026, we repurchased 1.1 million shares of common stock for $200.0 million under the stock</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repurchase program. As of March 28, 2026, we had $800.0 million remaining on the authorized $1.0 billion stock repurchase program.</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Additionally, our stock-based compensation plans permit the netting of common stock upon vesting of restricted stock units, and performance share units in order to satisfy individual statutory tax withholding requirements.</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During the quarter ended March 28, 2026, none of our officers or directors adopted or terminated any contract, instruction, or written plan for the purchase or sale of our securities that was intended to satisfy the affirmative defense conditions of Rule 10b5-1(c) under the Exchange Act or any “non-Rule 10b5-1 trading arrangement” as defined in Item 408(c) of Regulation S-K, except as follows:</w:t>
      </w:r>
    </w:p>
    <w:p>
      <w:pPr>
        <w:spacing w:after="0" w:line="68" w:lineRule="exact"/>
        <w:rPr>
          <w:sz w:val="20"/>
          <w:szCs w:val="20"/>
          <w:color w:val="auto"/>
        </w:rPr>
      </w:pPr>
    </w:p>
    <w:p>
      <w:pPr>
        <w:ind w:left="660" w:right="420" w:hanging="328"/>
        <w:spacing w:after="0" w:line="312" w:lineRule="auto"/>
        <w:tabs>
          <w:tab w:leader="none" w:pos="65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March 4, 2026, Shannon Parisotto, our Corporate Executive Vice President Global Discovery and Safety Assessment, entered into a Rule 10b5-1 trading arrangement for the sale of up to 16,131 shares of common stock. The arrangement’s expiration date is January 31, 2027.</w:t>
      </w:r>
    </w:p>
    <w:p>
      <w:pPr>
        <w:spacing w:after="0" w:line="31" w:lineRule="exact"/>
        <w:rPr>
          <w:rFonts w:ascii="Times New Roman" w:cs="Times New Roman" w:eastAsia="Times New Roman" w:hAnsi="Times New Roman"/>
          <w:sz w:val="17"/>
          <w:szCs w:val="17"/>
          <w:color w:val="auto"/>
        </w:rPr>
      </w:pPr>
    </w:p>
    <w:p>
      <w:pPr>
        <w:ind w:left="660" w:right="60" w:hanging="328"/>
        <w:spacing w:after="0" w:line="266" w:lineRule="auto"/>
        <w:tabs>
          <w:tab w:leader="none" w:pos="6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March 6, 2026, James Foster, one of our directors, terminated a Rule 10b5-1 trading arrangement, dated March 6, 2025, for the sale of up to 168,463 shares of common stock. Mr. Foster did not sell any shares pursuant to such plan, which, absent such termination, would have expired on August 21, 2027.</w:t>
      </w:r>
    </w:p>
    <w:p>
      <w:pPr>
        <w:spacing w:after="0" w:line="67" w:lineRule="exact"/>
        <w:rPr>
          <w:rFonts w:ascii="Times New Roman" w:cs="Times New Roman" w:eastAsia="Times New Roman" w:hAnsi="Times New Roman"/>
          <w:sz w:val="18"/>
          <w:szCs w:val="18"/>
          <w:color w:val="auto"/>
        </w:rPr>
      </w:pPr>
    </w:p>
    <w:p>
      <w:pPr>
        <w:ind w:left="660" w:right="700" w:hanging="328"/>
        <w:spacing w:after="0" w:line="281" w:lineRule="auto"/>
        <w:tabs>
          <w:tab w:leader="none" w:pos="655" w:val="left"/>
        </w:tabs>
        <w:numPr>
          <w:ilvl w:val="0"/>
          <w:numId w:val="15"/>
        </w:numPr>
        <w:rPr>
          <w:rFonts w:ascii="Arial" w:cs="Arial" w:eastAsia="Arial" w:hAnsi="Arial"/>
          <w:sz w:val="18"/>
          <w:szCs w:val="18"/>
          <w:color w:val="auto"/>
        </w:rPr>
      </w:pPr>
      <w:r>
        <w:rPr>
          <w:rFonts w:ascii="Times New Roman" w:cs="Times New Roman" w:eastAsia="Times New Roman" w:hAnsi="Times New Roman"/>
          <w:sz w:val="18"/>
          <w:szCs w:val="18"/>
          <w:color w:val="auto"/>
        </w:rPr>
        <w:t>On March 6, 2026, Mr. Foster entered into a Rule 10b5-1 trading arrangement for the sale of up to 193,463 shares of common stock. The arrangement’s expiration date is June 7, 2028.</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38"/>
        </w:trPr>
        <w:tc>
          <w:tcPr>
            <w:tcW w:w="1320" w:type="dxa"/>
            <w:vAlign w:val="bottom"/>
          </w:tcPr>
          <w:p>
            <w:pPr>
              <w:spacing w:after="0"/>
              <w:rPr>
                <w:sz w:val="20"/>
                <w:szCs w:val="20"/>
                <w:color w:val="auto"/>
              </w:rPr>
            </w:pPr>
          </w:p>
        </w:tc>
        <w:tc>
          <w:tcPr>
            <w:tcW w:w="9920" w:type="dxa"/>
            <w:vAlign w:val="bottom"/>
            <w:gridSpan w:val="4"/>
          </w:tcPr>
          <w:p>
            <w:pPr>
              <w:ind w:left="180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tc>
      </w:tr>
      <w:tr>
        <w:trPr>
          <w:trHeight w:val="878"/>
        </w:trPr>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Item 6. Exhibits</w:t>
            </w:r>
          </w:p>
        </w:tc>
        <w:tc>
          <w:tcPr>
            <w:tcW w:w="4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503"/>
        </w:trPr>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 Exhibits</w:t>
            </w:r>
          </w:p>
        </w:tc>
        <w:tc>
          <w:tcPr>
            <w:tcW w:w="9920" w:type="dxa"/>
            <w:vAlign w:val="bottom"/>
            <w:gridSpan w:val="4"/>
          </w:tcPr>
          <w:p>
            <w:pPr>
              <w:ind w:left="4240"/>
              <w:spacing w:after="0"/>
              <w:rPr>
                <w:sz w:val="20"/>
                <w:szCs w:val="20"/>
                <w:color w:val="auto"/>
              </w:rPr>
            </w:pPr>
            <w:r>
              <w:rPr>
                <w:rFonts w:ascii="Times New Roman" w:cs="Times New Roman" w:eastAsia="Times New Roman" w:hAnsi="Times New Roman"/>
                <w:sz w:val="14"/>
                <w:szCs w:val="14"/>
                <w:b w:val="1"/>
                <w:bCs w:val="1"/>
                <w:color w:val="auto"/>
              </w:rPr>
              <w:t>Description of Exhibits</w:t>
            </w:r>
          </w:p>
        </w:tc>
      </w:tr>
      <w:tr>
        <w:trPr>
          <w:trHeight w:val="23"/>
        </w:trPr>
        <w:tc>
          <w:tcPr>
            <w:tcW w:w="1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60" w:type="dxa"/>
            <w:vAlign w:val="bottom"/>
          </w:tcPr>
          <w:p>
            <w:pPr>
              <w:spacing w:after="0"/>
              <w:rPr>
                <w:sz w:val="2"/>
                <w:szCs w:val="2"/>
                <w:color w:val="auto"/>
              </w:rPr>
            </w:pPr>
          </w:p>
        </w:tc>
        <w:tc>
          <w:tcPr>
            <w:tcW w:w="5060" w:type="dxa"/>
            <w:vAlign w:val="bottom"/>
          </w:tcPr>
          <w:p>
            <w:pPr>
              <w:spacing w:after="0"/>
              <w:rPr>
                <w:sz w:val="2"/>
                <w:szCs w:val="2"/>
                <w:color w:val="auto"/>
              </w:rPr>
            </w:pPr>
          </w:p>
        </w:tc>
        <w:tc>
          <w:tcPr>
            <w:tcW w:w="560" w:type="dxa"/>
            <w:vAlign w:val="bottom"/>
          </w:tcPr>
          <w:p>
            <w:pPr>
              <w:spacing w:after="0"/>
              <w:rPr>
                <w:sz w:val="2"/>
                <w:szCs w:val="2"/>
                <w:color w:val="auto"/>
              </w:rPr>
            </w:pPr>
          </w:p>
        </w:tc>
      </w:tr>
      <w:tr>
        <w:trPr>
          <w:trHeight w:val="196"/>
        </w:trPr>
        <w:tc>
          <w:tcPr>
            <w:tcW w:w="1320" w:type="dxa"/>
            <w:vAlign w:val="bottom"/>
            <w:tcBorders>
              <w:bottom w:val="single" w:sz="8" w:color="CCEEFF"/>
            </w:tcBorders>
            <w:shd w:val="clear" w:color="auto" w:fill="CCEEFF"/>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31.1</w:t>
            </w:r>
          </w:p>
        </w:tc>
        <w:tc>
          <w:tcPr>
            <w:tcW w:w="4300" w:type="dxa"/>
            <w:vAlign w:val="bottom"/>
            <w:tcBorders>
              <w:bottom w:val="single" w:sz="8" w:color="0000FF"/>
            </w:tcBorders>
            <w:gridSpan w:val="2"/>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of Chief Executive Officer</w:t>
            </w:r>
          </w:p>
        </w:tc>
        <w:tc>
          <w:tcPr>
            <w:tcW w:w="5620" w:type="dxa"/>
            <w:vAlign w:val="bottom"/>
            <w:tcBorders>
              <w:bottom w:val="single" w:sz="8" w:color="CCEEFF"/>
            </w:tcBorders>
            <w:gridSpan w:val="2"/>
            <w:shd w:val="clear" w:color="auto" w:fill="CCEEFF"/>
          </w:tcPr>
          <w:p>
            <w:pPr>
              <w:spacing w:after="0"/>
              <w:rPr>
                <w:sz w:val="17"/>
                <w:szCs w:val="17"/>
                <w:color w:val="auto"/>
              </w:rPr>
            </w:pPr>
          </w:p>
        </w:tc>
      </w:tr>
      <w:tr>
        <w:trPr>
          <w:trHeight w:val="176"/>
        </w:trPr>
        <w:tc>
          <w:tcPr>
            <w:tcW w:w="1320" w:type="dxa"/>
            <w:vAlign w:val="bottom"/>
          </w:tcPr>
          <w:p>
            <w:pPr>
              <w:jc w:val="center"/>
              <w:spacing w:after="0" w:line="175" w:lineRule="exact"/>
              <w:rPr>
                <w:sz w:val="20"/>
                <w:szCs w:val="20"/>
                <w:color w:val="auto"/>
              </w:rPr>
            </w:pPr>
            <w:r>
              <w:rPr>
                <w:rFonts w:ascii="Times New Roman" w:cs="Times New Roman" w:eastAsia="Times New Roman" w:hAnsi="Times New Roman"/>
                <w:sz w:val="16"/>
                <w:szCs w:val="16"/>
                <w:color w:val="auto"/>
                <w:w w:val="99"/>
              </w:rPr>
              <w:t>31.2</w:t>
            </w:r>
          </w:p>
        </w:tc>
        <w:tc>
          <w:tcPr>
            <w:tcW w:w="9920" w:type="dxa"/>
            <w:vAlign w:val="bottom"/>
            <w:gridSpan w:val="4"/>
          </w:tcPr>
          <w:p>
            <w:pPr>
              <w:spacing w:after="0" w:line="175" w:lineRule="exact"/>
              <w:rPr>
                <w:sz w:val="20"/>
                <w:szCs w:val="20"/>
                <w:color w:val="auto"/>
              </w:rPr>
            </w:pPr>
            <w:r>
              <w:rPr>
                <w:rFonts w:ascii="Times New Roman" w:cs="Times New Roman" w:eastAsia="Times New Roman" w:hAnsi="Times New Roman"/>
                <w:sz w:val="16"/>
                <w:szCs w:val="16"/>
                <w:color w:val="0000FF"/>
              </w:rPr>
              <w:t>Rule 13a-14(a)/15d-14(a) Certification of Chief Financial Officer</w:t>
            </w:r>
          </w:p>
        </w:tc>
      </w:tr>
      <w:tr>
        <w:trPr>
          <w:trHeight w:val="21"/>
        </w:trPr>
        <w:tc>
          <w:tcPr>
            <w:tcW w:w="1320" w:type="dxa"/>
            <w:vAlign w:val="bottom"/>
          </w:tcPr>
          <w:p>
            <w:pPr>
              <w:spacing w:after="0" w:line="20" w:lineRule="exact"/>
              <w:rPr>
                <w:sz w:val="1"/>
                <w:szCs w:val="1"/>
                <w:color w:val="auto"/>
              </w:rPr>
            </w:pPr>
          </w:p>
        </w:tc>
        <w:tc>
          <w:tcPr>
            <w:tcW w:w="424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75"/>
        </w:trPr>
        <w:tc>
          <w:tcPr>
            <w:tcW w:w="1320" w:type="dxa"/>
            <w:vAlign w:val="bottom"/>
            <w:shd w:val="clear" w:color="auto" w:fill="CCEEFF"/>
          </w:tcPr>
          <w:p>
            <w:pPr>
              <w:jc w:val="right"/>
              <w:ind w:right="339"/>
              <w:spacing w:after="0" w:line="175" w:lineRule="exact"/>
              <w:rPr>
                <w:sz w:val="20"/>
                <w:szCs w:val="20"/>
                <w:color w:val="auto"/>
              </w:rPr>
            </w:pPr>
            <w:r>
              <w:rPr>
                <w:rFonts w:ascii="Times New Roman" w:cs="Times New Roman" w:eastAsia="Times New Roman" w:hAnsi="Times New Roman"/>
                <w:sz w:val="16"/>
                <w:szCs w:val="16"/>
                <w:color w:val="auto"/>
              </w:rPr>
              <w:t>32.1+</w:t>
            </w:r>
          </w:p>
        </w:tc>
        <w:tc>
          <w:tcPr>
            <w:tcW w:w="9920" w:type="dxa"/>
            <w:vAlign w:val="bottom"/>
            <w:gridSpan w:val="4"/>
            <w:shd w:val="clear" w:color="auto" w:fill="CCEEFF"/>
          </w:tcPr>
          <w:p>
            <w:pPr>
              <w:spacing w:after="0" w:line="175" w:lineRule="exact"/>
              <w:rPr>
                <w:sz w:val="20"/>
                <w:szCs w:val="20"/>
                <w:color w:val="auto"/>
              </w:rPr>
            </w:pPr>
            <w:r>
              <w:rPr>
                <w:rFonts w:ascii="Times New Roman" w:cs="Times New Roman" w:eastAsia="Times New Roman" w:hAnsi="Times New Roman"/>
                <w:sz w:val="16"/>
                <w:szCs w:val="16"/>
                <w:color w:val="0000FF"/>
              </w:rPr>
              <w:t>Certification of the Principal Executive Officer and the Principal Financial Officer required by Rule 13a-14(a) of 15d-14(a) of the Exchange Act</w:t>
            </w:r>
          </w:p>
        </w:tc>
      </w:tr>
      <w:tr>
        <w:trPr>
          <w:trHeight w:val="21"/>
        </w:trPr>
        <w:tc>
          <w:tcPr>
            <w:tcW w:w="1320" w:type="dxa"/>
            <w:vAlign w:val="bottom"/>
            <w:tcBorders>
              <w:top w:val="single" w:sz="8" w:color="CCEEFF"/>
            </w:tcBorders>
            <w:shd w:val="clear" w:color="auto" w:fill="CCEEFF"/>
          </w:tcPr>
          <w:p>
            <w:pPr>
              <w:spacing w:after="0" w:line="20" w:lineRule="exact"/>
              <w:rPr>
                <w:sz w:val="1"/>
                <w:szCs w:val="1"/>
                <w:color w:val="auto"/>
              </w:rPr>
            </w:pPr>
          </w:p>
        </w:tc>
        <w:tc>
          <w:tcPr>
            <w:tcW w:w="424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5060" w:type="dxa"/>
            <w:vAlign w:val="bottom"/>
            <w:tcBorders>
              <w:top w:val="single" w:sz="8" w:color="0000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r>
      <w:tr>
        <w:trPr>
          <w:trHeight w:val="162"/>
        </w:trPr>
        <w:tc>
          <w:tcPr>
            <w:tcW w:w="132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color w:val="auto"/>
              </w:rPr>
              <w:t>101.INS</w:t>
            </w:r>
          </w:p>
        </w:tc>
        <w:tc>
          <w:tcPr>
            <w:tcW w:w="9920" w:type="dxa"/>
            <w:vAlign w:val="bottom"/>
            <w:gridSpan w:val="4"/>
          </w:tcPr>
          <w:p>
            <w:pPr>
              <w:spacing w:after="0" w:line="162" w:lineRule="exact"/>
              <w:rPr>
                <w:sz w:val="20"/>
                <w:szCs w:val="20"/>
                <w:color w:val="auto"/>
              </w:rPr>
            </w:pPr>
            <w:r>
              <w:rPr>
                <w:rFonts w:ascii="Times New Roman" w:cs="Times New Roman" w:eastAsia="Times New Roman" w:hAnsi="Times New Roman"/>
                <w:sz w:val="16"/>
                <w:szCs w:val="16"/>
                <w:color w:val="auto"/>
              </w:rPr>
              <w:t>eXtensible Business Reporting Language (XBRL) Instance Document - the instance document does not appear in the Interactive Data File because its</w:t>
            </w:r>
          </w:p>
        </w:tc>
      </w:tr>
      <w:tr>
        <w:trPr>
          <w:trHeight w:val="213"/>
        </w:trPr>
        <w:tc>
          <w:tcPr>
            <w:tcW w:w="1320" w:type="dxa"/>
            <w:vAlign w:val="bottom"/>
          </w:tcPr>
          <w:p>
            <w:pPr>
              <w:spacing w:after="0"/>
              <w:rPr>
                <w:sz w:val="18"/>
                <w:szCs w:val="18"/>
                <w:color w:val="auto"/>
              </w:rPr>
            </w:pPr>
          </w:p>
        </w:tc>
        <w:tc>
          <w:tcPr>
            <w:tcW w:w="9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tags are embedded within the Inline XBRL document</w:t>
            </w:r>
          </w:p>
        </w:tc>
      </w:tr>
      <w:tr>
        <w:trPr>
          <w:trHeight w:val="219"/>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101.SCH</w:t>
            </w:r>
          </w:p>
        </w:tc>
        <w:tc>
          <w:tcPr>
            <w:tcW w:w="9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Extension Schema Document</w:t>
            </w:r>
          </w:p>
        </w:tc>
      </w:tr>
      <w:tr>
        <w:trPr>
          <w:trHeight w:val="213"/>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101.CAL</w:t>
            </w:r>
          </w:p>
        </w:tc>
        <w:tc>
          <w:tcPr>
            <w:tcW w:w="9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Calculation Linkbase Document</w:t>
            </w:r>
          </w:p>
        </w:tc>
      </w:tr>
      <w:tr>
        <w:trPr>
          <w:trHeight w:val="219"/>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101.DEF</w:t>
            </w:r>
          </w:p>
        </w:tc>
        <w:tc>
          <w:tcPr>
            <w:tcW w:w="9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Definition Linkbase Document</w:t>
            </w:r>
          </w:p>
        </w:tc>
      </w:tr>
      <w:tr>
        <w:trPr>
          <w:trHeight w:val="213"/>
        </w:trPr>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101.LAB</w:t>
            </w:r>
          </w:p>
        </w:tc>
        <w:tc>
          <w:tcPr>
            <w:tcW w:w="9920" w:type="dxa"/>
            <w:vAlign w:val="bottom"/>
            <w:gridSpan w:val="4"/>
          </w:tcPr>
          <w:p>
            <w:pPr>
              <w:spacing w:after="0"/>
              <w:rPr>
                <w:sz w:val="20"/>
                <w:szCs w:val="20"/>
                <w:color w:val="auto"/>
              </w:rPr>
            </w:pPr>
            <w:r>
              <w:rPr>
                <w:rFonts w:ascii="Times New Roman" w:cs="Times New Roman" w:eastAsia="Times New Roman" w:hAnsi="Times New Roman"/>
                <w:sz w:val="16"/>
                <w:szCs w:val="16"/>
                <w:color w:val="auto"/>
              </w:rPr>
              <w:t>XBRL Taxonomy Label Linkbase Document</w:t>
            </w:r>
          </w:p>
        </w:tc>
      </w:tr>
      <w:tr>
        <w:trPr>
          <w:trHeight w:val="219"/>
        </w:trPr>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101.PRE</w:t>
            </w:r>
          </w:p>
        </w:tc>
        <w:tc>
          <w:tcPr>
            <w:tcW w:w="99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6"/>
                <w:szCs w:val="16"/>
                <w:color w:val="auto"/>
              </w:rPr>
              <w:t>XBRL Taxonomy Presentation Linkbase Document</w:t>
            </w:r>
          </w:p>
        </w:tc>
      </w:tr>
    </w:tbl>
    <w:p>
      <w:pPr>
        <w:spacing w:after="0" w:line="26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Furnished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ind w:left="3120"/>
        <w:spacing w:after="0"/>
        <w:rPr>
          <w:sz w:val="20"/>
          <w:szCs w:val="20"/>
          <w:color w:val="auto"/>
        </w:rPr>
      </w:pPr>
      <w:r>
        <w:rPr>
          <w:rFonts w:ascii="Times New Roman" w:cs="Times New Roman" w:eastAsia="Times New Roman" w:hAnsi="Times New Roman"/>
          <w:sz w:val="18"/>
          <w:szCs w:val="18"/>
          <w:b w:val="1"/>
          <w:bCs w:val="1"/>
          <w:color w:val="auto"/>
        </w:rPr>
        <w:t>CHARLES RIVER LABORATORIES INTERNATIONAL, INC.</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111" w:lineRule="exact"/>
        <w:rPr>
          <w:sz w:val="20"/>
          <w:szCs w:val="20"/>
          <w:color w:val="auto"/>
        </w:rPr>
      </w:pPr>
    </w:p>
    <w:p>
      <w:pPr>
        <w:ind w:firstLine="1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6"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p>
      <w:pPr>
        <w:spacing w:after="0" w:line="200" w:lineRule="exact"/>
        <w:rPr>
          <w:sz w:val="20"/>
          <w:szCs w:val="20"/>
          <w:color w:val="auto"/>
        </w:rPr>
      </w:pPr>
    </w:p>
    <w:p>
      <w:pPr>
        <w:spacing w:after="0" w:line="268" w:lineRule="exact"/>
        <w:rPr>
          <w:sz w:val="20"/>
          <w:szCs w:val="20"/>
          <w:color w:val="auto"/>
        </w:rPr>
      </w:pPr>
    </w:p>
    <w:tbl>
      <w:tblPr>
        <w:tblLayout w:type="fixed"/>
        <w:tblInd w:w="860" w:type="dxa"/>
        <w:tblCellMar>
          <w:top w:w="0" w:type="dxa"/>
          <w:left w:w="0" w:type="dxa"/>
          <w:bottom w:w="0" w:type="dxa"/>
          <w:right w:w="0" w:type="dxa"/>
        </w:tblCellMar>
      </w:tblPr>
      <w:tr>
        <w:trPr>
          <w:trHeight w:val="234"/>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BIRGIT GIRSHICK</w:t>
            </w:r>
          </w:p>
        </w:tc>
      </w:tr>
      <w:tr>
        <w:trPr>
          <w:trHeight w:val="27"/>
        </w:trPr>
        <w:tc>
          <w:tcPr>
            <w:tcW w:w="1740" w:type="dxa"/>
            <w:vAlign w:val="bottom"/>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r>
      <w:tr>
        <w:trPr>
          <w:trHeight w:val="155"/>
        </w:trPr>
        <w:tc>
          <w:tcPr>
            <w:tcW w:w="1740" w:type="dxa"/>
            <w:vAlign w:val="bottom"/>
          </w:tcPr>
          <w:p>
            <w:pPr>
              <w:spacing w:after="0"/>
              <w:rPr>
                <w:sz w:val="13"/>
                <w:szCs w:val="13"/>
                <w:color w:val="auto"/>
              </w:rPr>
            </w:pPr>
          </w:p>
        </w:tc>
        <w:tc>
          <w:tcPr>
            <w:tcW w:w="746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Birgit Girshick</w:t>
            </w:r>
          </w:p>
        </w:tc>
      </w:tr>
      <w:tr>
        <w:trPr>
          <w:trHeight w:val="212"/>
        </w:trPr>
        <w:tc>
          <w:tcPr>
            <w:tcW w:w="1740" w:type="dxa"/>
            <w:vAlign w:val="bottom"/>
          </w:tcPr>
          <w:p>
            <w:pPr>
              <w:spacing w:after="0"/>
              <w:rPr>
                <w:sz w:val="18"/>
                <w:szCs w:val="18"/>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w:t>
            </w:r>
          </w:p>
        </w:tc>
      </w:tr>
      <w:tr>
        <w:trPr>
          <w:trHeight w:val="625"/>
        </w:trPr>
        <w:tc>
          <w:tcPr>
            <w:tcW w:w="174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GLENN COLEMAN</w:t>
            </w:r>
          </w:p>
        </w:tc>
      </w:tr>
      <w:tr>
        <w:trPr>
          <w:trHeight w:val="27"/>
        </w:trPr>
        <w:tc>
          <w:tcPr>
            <w:tcW w:w="1740" w:type="dxa"/>
            <w:vAlign w:val="bottom"/>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r>
      <w:tr>
        <w:trPr>
          <w:trHeight w:val="155"/>
        </w:trPr>
        <w:tc>
          <w:tcPr>
            <w:tcW w:w="1740" w:type="dxa"/>
            <w:vAlign w:val="bottom"/>
          </w:tcPr>
          <w:p>
            <w:pPr>
              <w:spacing w:after="0"/>
              <w:rPr>
                <w:sz w:val="13"/>
                <w:szCs w:val="13"/>
                <w:color w:val="auto"/>
              </w:rPr>
            </w:pPr>
          </w:p>
        </w:tc>
        <w:tc>
          <w:tcPr>
            <w:tcW w:w="7460" w:type="dxa"/>
            <w:vAlign w:val="bottom"/>
          </w:tcPr>
          <w:p>
            <w:pPr>
              <w:ind w:left="20"/>
              <w:spacing w:after="0" w:line="155" w:lineRule="exact"/>
              <w:rPr>
                <w:sz w:val="20"/>
                <w:szCs w:val="20"/>
                <w:color w:val="auto"/>
              </w:rPr>
            </w:pPr>
            <w:r>
              <w:rPr>
                <w:rFonts w:ascii="Times New Roman" w:cs="Times New Roman" w:eastAsia="Times New Roman" w:hAnsi="Times New Roman"/>
                <w:sz w:val="16"/>
                <w:szCs w:val="16"/>
                <w:color w:val="auto"/>
              </w:rPr>
              <w:t>Glenn Coleman</w:t>
            </w:r>
          </w:p>
        </w:tc>
      </w:tr>
      <w:tr>
        <w:trPr>
          <w:trHeight w:val="236"/>
        </w:trPr>
        <w:tc>
          <w:tcPr>
            <w:tcW w:w="174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Corporate 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460"/>
          </w:cols>
          <w:pgMar w:left="320" w:top="117" w:right="111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13a-14(a)/15d-14(a) OF THE EXCHANGE ACT OF 1934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Birgit Girshick, Chief Executive Officer of Charles River Laboratories International, Inc. (the registrant) certify that:</w:t>
      </w:r>
    </w:p>
    <w:p>
      <w:pPr>
        <w:spacing w:after="0" w:line="225" w:lineRule="exact"/>
        <w:rPr>
          <w:sz w:val="20"/>
          <w:szCs w:val="20"/>
          <w:color w:val="auto"/>
        </w:rPr>
      </w:pPr>
    </w:p>
    <w:p>
      <w:pPr>
        <w:ind w:left="320" w:hanging="312"/>
        <w:spacing w:after="0"/>
        <w:tabs>
          <w:tab w:leader="none" w:pos="3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28, 2026 of the registrant;</w:t>
      </w:r>
    </w:p>
    <w:p>
      <w:pPr>
        <w:spacing w:after="0" w:line="225"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9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1300" w:right="260" w:hanging="644"/>
        <w:spacing w:after="0" w:line="312" w:lineRule="auto"/>
        <w:tabs>
          <w:tab w:leader="none" w:pos="957"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9" w:lineRule="exact"/>
        <w:rPr>
          <w:rFonts w:ascii="Times New Roman" w:cs="Times New Roman" w:eastAsia="Times New Roman" w:hAnsi="Times New Roman"/>
          <w:sz w:val="17"/>
          <w:szCs w:val="17"/>
          <w:color w:val="auto"/>
        </w:rPr>
      </w:pPr>
    </w:p>
    <w:p>
      <w:pPr>
        <w:ind w:left="1300" w:right="140" w:hanging="644"/>
        <w:spacing w:after="0" w:line="266" w:lineRule="auto"/>
        <w:tabs>
          <w:tab w:leader="none" w:pos="9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5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9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tbl>
      <w:tblPr>
        <w:tblLayout w:type="fixed"/>
        <w:tblInd w:w="740" w:type="dxa"/>
        <w:tblCellMar>
          <w:top w:w="0" w:type="dxa"/>
          <w:left w:w="0" w:type="dxa"/>
          <w:bottom w:w="0" w:type="dxa"/>
          <w:right w:w="0" w:type="dxa"/>
        </w:tblCellMar>
      </w:tblPr>
      <w:tr>
        <w:trPr>
          <w:trHeight w:val="234"/>
        </w:trPr>
        <w:tc>
          <w:tcPr>
            <w:tcW w:w="4180" w:type="dxa"/>
            <w:vAlign w:val="bottom"/>
          </w:tcPr>
          <w:p>
            <w:pPr>
              <w:spacing w:after="0"/>
              <w:rPr>
                <w:sz w:val="20"/>
                <w:szCs w:val="20"/>
                <w:color w:val="auto"/>
              </w:rPr>
            </w:pP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Birgit Girshick</w:t>
            </w:r>
          </w:p>
        </w:tc>
      </w:tr>
      <w:tr>
        <w:trPr>
          <w:trHeight w:val="27"/>
        </w:trPr>
        <w:tc>
          <w:tcPr>
            <w:tcW w:w="4180" w:type="dxa"/>
            <w:vAlign w:val="bottom"/>
          </w:tcPr>
          <w:p>
            <w:pPr>
              <w:spacing w:after="0"/>
              <w:rPr>
                <w:sz w:val="2"/>
                <w:szCs w:val="2"/>
                <w:color w:val="auto"/>
              </w:rPr>
            </w:pPr>
          </w:p>
        </w:tc>
        <w:tc>
          <w:tcPr>
            <w:tcW w:w="6300" w:type="dxa"/>
            <w:vAlign w:val="bottom"/>
            <w:tcBorders>
              <w:bottom w:val="single" w:sz="8" w:color="auto"/>
            </w:tcBorders>
          </w:tcPr>
          <w:p>
            <w:pPr>
              <w:spacing w:after="0"/>
              <w:rPr>
                <w:sz w:val="2"/>
                <w:szCs w:val="2"/>
                <w:color w:val="auto"/>
              </w:rPr>
            </w:pPr>
          </w:p>
        </w:tc>
      </w:tr>
      <w:tr>
        <w:trPr>
          <w:trHeight w:val="169"/>
        </w:trPr>
        <w:tc>
          <w:tcPr>
            <w:tcW w:w="4180" w:type="dxa"/>
            <w:vAlign w:val="bottom"/>
          </w:tcPr>
          <w:p>
            <w:pPr>
              <w:spacing w:after="0"/>
              <w:rPr>
                <w:sz w:val="14"/>
                <w:szCs w:val="14"/>
                <w:color w:val="auto"/>
              </w:rPr>
            </w:pPr>
          </w:p>
        </w:tc>
        <w:tc>
          <w:tcPr>
            <w:tcW w:w="630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Birgit Girshick</w:t>
            </w:r>
          </w:p>
        </w:tc>
      </w:tr>
      <w:tr>
        <w:trPr>
          <w:trHeight w:val="184"/>
        </w:trPr>
        <w:tc>
          <w:tcPr>
            <w:tcW w:w="4180" w:type="dxa"/>
            <w:vAlign w:val="bottom"/>
          </w:tcPr>
          <w:p>
            <w:pPr>
              <w:spacing w:after="0"/>
              <w:rPr>
                <w:sz w:val="16"/>
                <w:szCs w:val="16"/>
                <w:color w:val="auto"/>
              </w:rPr>
            </w:pPr>
          </w:p>
        </w:tc>
        <w:tc>
          <w:tcPr>
            <w:tcW w:w="630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48"/>
        </w:trPr>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bl>
    <w:p>
      <w:pPr>
        <w:sectPr>
          <w:pgSz w:w="11900" w:h="16838" w:orient="portrait"/>
          <w:cols w:equalWidth="0" w:num="1">
            <w:col w:w="11240"/>
          </w:cols>
          <w:pgMar w:left="320" w:top="1062"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RULE 13a-14(a)/15d-14(a) OF THE EXCHANGE ACT OF 1934</w:t>
      </w:r>
    </w:p>
    <w:p>
      <w:pPr>
        <w:spacing w:after="0" w:line="207"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 Glenn Coleman, Corporate Executive Vice President and Chief Financial Officer of Charles River Laboratories International, Inc. (the registrant) certify that:</w:t>
      </w:r>
    </w:p>
    <w:p>
      <w:pPr>
        <w:spacing w:after="0" w:line="108" w:lineRule="exact"/>
        <w:rPr>
          <w:sz w:val="20"/>
          <w:szCs w:val="20"/>
          <w:color w:val="auto"/>
        </w:rPr>
      </w:pPr>
    </w:p>
    <w:p>
      <w:pPr>
        <w:ind w:left="320" w:hanging="312"/>
        <w:spacing w:after="0"/>
        <w:tabs>
          <w:tab w:leader="none" w:pos="3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for the quarter ended March 28, 2026 of the registrant;</w:t>
      </w:r>
    </w:p>
    <w:p>
      <w:pPr>
        <w:spacing w:after="0" w:line="171" w:lineRule="exact"/>
        <w:rPr>
          <w:rFonts w:ascii="Times New Roman" w:cs="Times New Roman" w:eastAsia="Times New Roman" w:hAnsi="Times New Roman"/>
          <w:sz w:val="18"/>
          <w:szCs w:val="18"/>
          <w:color w:val="auto"/>
        </w:rPr>
      </w:pPr>
    </w:p>
    <w:p>
      <w:pPr>
        <w:ind w:left="660" w:right="140" w:hanging="652"/>
        <w:spacing w:after="0" w:line="266" w:lineRule="auto"/>
        <w:tabs>
          <w:tab w:leader="none" w:pos="3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right="420" w:hanging="652"/>
        <w:spacing w:after="0" w:line="282" w:lineRule="auto"/>
        <w:tabs>
          <w:tab w:leader="none" w:pos="32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left="660" w:right="120" w:hanging="652"/>
        <w:spacing w:after="0" w:line="266"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ind w:left="1300" w:right="120" w:hanging="644"/>
        <w:spacing w:after="0" w:line="266" w:lineRule="auto"/>
        <w:tabs>
          <w:tab w:leader="none" w:pos="9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ind w:left="1300" w:right="40" w:hanging="644"/>
        <w:spacing w:after="0" w:line="266" w:lineRule="auto"/>
        <w:tabs>
          <w:tab w:leader="none" w:pos="9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60" w:hanging="644"/>
        <w:spacing w:after="0" w:line="312" w:lineRule="auto"/>
        <w:tabs>
          <w:tab w:leader="none" w:pos="95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5" w:lineRule="exact"/>
        <w:rPr>
          <w:rFonts w:ascii="Times New Roman" w:cs="Times New Roman" w:eastAsia="Times New Roman" w:hAnsi="Times New Roman"/>
          <w:sz w:val="17"/>
          <w:szCs w:val="17"/>
          <w:color w:val="auto"/>
        </w:rPr>
      </w:pPr>
    </w:p>
    <w:p>
      <w:pPr>
        <w:ind w:left="1300" w:right="140" w:hanging="644"/>
        <w:spacing w:after="0" w:line="266" w:lineRule="auto"/>
        <w:tabs>
          <w:tab w:leader="none" w:pos="9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80" w:hanging="652"/>
        <w:spacing w:after="0" w:line="282" w:lineRule="auto"/>
        <w:tabs>
          <w:tab w:leader="none" w:pos="32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95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right="540" w:hanging="644"/>
        <w:spacing w:after="0" w:line="282" w:lineRule="auto"/>
        <w:tabs>
          <w:tab w:leader="none" w:pos="96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tbl>
      <w:tblPr>
        <w:tblLayout w:type="fixed"/>
        <w:tblInd w:w="72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Glenn Coleman</w:t>
            </w:r>
          </w:p>
        </w:tc>
      </w:tr>
      <w:tr>
        <w:trPr>
          <w:trHeight w:val="27"/>
        </w:trPr>
        <w:tc>
          <w:tcPr>
            <w:tcW w:w="3060" w:type="dxa"/>
            <w:vAlign w:val="bottom"/>
          </w:tcPr>
          <w:p>
            <w:pPr>
              <w:spacing w:after="0"/>
              <w:rPr>
                <w:sz w:val="2"/>
                <w:szCs w:val="2"/>
                <w:color w:val="auto"/>
              </w:rPr>
            </w:pPr>
          </w:p>
        </w:tc>
        <w:tc>
          <w:tcPr>
            <w:tcW w:w="7460" w:type="dxa"/>
            <w:vAlign w:val="bottom"/>
            <w:tcBorders>
              <w:bottom w:val="single" w:sz="8" w:color="auto"/>
            </w:tcBorders>
          </w:tcPr>
          <w:p>
            <w:pPr>
              <w:spacing w:after="0"/>
              <w:rPr>
                <w:sz w:val="2"/>
                <w:szCs w:val="2"/>
                <w:color w:val="auto"/>
              </w:rPr>
            </w:pPr>
          </w:p>
        </w:tc>
      </w:tr>
      <w:tr>
        <w:trPr>
          <w:trHeight w:val="169"/>
        </w:trPr>
        <w:tc>
          <w:tcPr>
            <w:tcW w:w="3060" w:type="dxa"/>
            <w:vAlign w:val="bottom"/>
          </w:tcPr>
          <w:p>
            <w:pPr>
              <w:spacing w:after="0"/>
              <w:rPr>
                <w:sz w:val="14"/>
                <w:szCs w:val="14"/>
                <w:color w:val="auto"/>
              </w:rPr>
            </w:pPr>
          </w:p>
        </w:tc>
        <w:tc>
          <w:tcPr>
            <w:tcW w:w="746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Glenn Coleman</w:t>
            </w:r>
          </w:p>
        </w:tc>
      </w:tr>
      <w:tr>
        <w:trPr>
          <w:trHeight w:val="184"/>
        </w:trPr>
        <w:tc>
          <w:tcPr>
            <w:tcW w:w="3060" w:type="dxa"/>
            <w:vAlign w:val="bottom"/>
          </w:tcPr>
          <w:p>
            <w:pPr>
              <w:spacing w:after="0"/>
              <w:rPr>
                <w:sz w:val="16"/>
                <w:szCs w:val="16"/>
                <w:color w:val="auto"/>
              </w:rPr>
            </w:pPr>
          </w:p>
        </w:tc>
        <w:tc>
          <w:tcPr>
            <w:tcW w:w="746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Corporate Executive Vice President and Chief Financial Officer</w:t>
            </w:r>
          </w:p>
        </w:tc>
      </w:tr>
      <w:tr>
        <w:trPr>
          <w:trHeight w:val="234"/>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7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International, Inc.</w:t>
            </w:r>
          </w:p>
        </w:tc>
      </w:tr>
    </w:tbl>
    <w:p>
      <w:pPr>
        <w:sectPr>
          <w:pgSz w:w="11900" w:h="16838" w:orient="portrait"/>
          <w:cols w:equalWidth="0" w:num="1">
            <w:col w:w="11240"/>
          </w:cols>
          <w:pgMar w:left="320" w:top="1062"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quarter ended March 28, 2026 of Charles River Laboratories International, Inc. (the “Company”) as filed with the Securities and Exchange Commission on the date hereof (the “Report”), the undersigned, Birgit Girshick, Chief Executive Officer of the Company, and Glenn Coleman, Corporate Executive Vice President and Chief Financial Officer of the Company, each hereby certifies, to the best of their knowledge and pursuant to 18 U.S.C. Section 1350, that:</w:t>
      </w:r>
    </w:p>
    <w:p>
      <w:pPr>
        <w:spacing w:after="0" w:line="180" w:lineRule="exact"/>
        <w:rPr>
          <w:sz w:val="20"/>
          <w:szCs w:val="20"/>
          <w:color w:val="auto"/>
        </w:rPr>
      </w:pPr>
    </w:p>
    <w:p>
      <w:pPr>
        <w:ind w:left="1040" w:hanging="384"/>
        <w:spacing w:after="0"/>
        <w:tabs>
          <w:tab w:leader="none" w:pos="10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(the “Exchange Act”); and</w:t>
      </w:r>
    </w:p>
    <w:p>
      <w:pPr>
        <w:spacing w:after="0" w:line="225" w:lineRule="exact"/>
        <w:rPr>
          <w:rFonts w:ascii="Times New Roman" w:cs="Times New Roman" w:eastAsia="Times New Roman" w:hAnsi="Times New Roman"/>
          <w:sz w:val="18"/>
          <w:szCs w:val="18"/>
          <w:color w:val="auto"/>
        </w:rPr>
      </w:pPr>
    </w:p>
    <w:p>
      <w:pPr>
        <w:ind w:left="1300" w:right="600" w:hanging="644"/>
        <w:spacing w:after="0" w:line="282" w:lineRule="auto"/>
        <w:tabs>
          <w:tab w:leader="none" w:pos="104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tbl>
      <w:tblPr>
        <w:tblLayout w:type="fixed"/>
        <w:tblInd w:w="64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Birgit Girshick</w:t>
            </w:r>
          </w:p>
        </w:tc>
      </w:tr>
      <w:tr>
        <w:trPr>
          <w:trHeight w:val="27"/>
        </w:trPr>
        <w:tc>
          <w:tcPr>
            <w:tcW w:w="36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169"/>
        </w:trPr>
        <w:tc>
          <w:tcPr>
            <w:tcW w:w="3620" w:type="dxa"/>
            <w:vAlign w:val="bottom"/>
          </w:tcPr>
          <w:p>
            <w:pPr>
              <w:spacing w:after="0"/>
              <w:rPr>
                <w:sz w:val="14"/>
                <w:szCs w:val="14"/>
                <w:color w:val="auto"/>
              </w:rPr>
            </w:pPr>
          </w:p>
        </w:tc>
        <w:tc>
          <w:tcPr>
            <w:tcW w:w="55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Birgit Girshick</w:t>
            </w:r>
          </w:p>
        </w:tc>
      </w:tr>
      <w:tr>
        <w:trPr>
          <w:trHeight w:val="184"/>
        </w:trPr>
        <w:tc>
          <w:tcPr>
            <w:tcW w:w="3620" w:type="dxa"/>
            <w:vAlign w:val="bottom"/>
          </w:tcPr>
          <w:p>
            <w:pPr>
              <w:spacing w:after="0"/>
              <w:rPr>
                <w:sz w:val="16"/>
                <w:szCs w:val="16"/>
                <w:color w:val="auto"/>
              </w:rPr>
            </w:pPr>
          </w:p>
        </w:tc>
        <w:tc>
          <w:tcPr>
            <w:tcW w:w="5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Inc.</w:t>
            </w:r>
          </w:p>
        </w:tc>
      </w:tr>
      <w:tr>
        <w:trPr>
          <w:trHeight w:val="446"/>
        </w:trPr>
        <w:tc>
          <w:tcPr>
            <w:tcW w:w="3620" w:type="dxa"/>
            <w:vAlign w:val="bottom"/>
          </w:tcPr>
          <w:p>
            <w:pPr>
              <w:spacing w:after="0"/>
              <w:rPr>
                <w:sz w:val="24"/>
                <w:szCs w:val="24"/>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Glenn Coleman</w:t>
            </w:r>
          </w:p>
        </w:tc>
      </w:tr>
      <w:tr>
        <w:trPr>
          <w:trHeight w:val="27"/>
        </w:trPr>
        <w:tc>
          <w:tcPr>
            <w:tcW w:w="3620" w:type="dxa"/>
            <w:vAlign w:val="bottom"/>
          </w:tcPr>
          <w:p>
            <w:pPr>
              <w:spacing w:after="0"/>
              <w:rPr>
                <w:sz w:val="2"/>
                <w:szCs w:val="2"/>
                <w:color w:val="auto"/>
              </w:rPr>
            </w:pPr>
          </w:p>
        </w:tc>
        <w:tc>
          <w:tcPr>
            <w:tcW w:w="5540" w:type="dxa"/>
            <w:vAlign w:val="bottom"/>
            <w:tcBorders>
              <w:bottom w:val="single" w:sz="8" w:color="auto"/>
            </w:tcBorders>
          </w:tcPr>
          <w:p>
            <w:pPr>
              <w:spacing w:after="0"/>
              <w:rPr>
                <w:sz w:val="2"/>
                <w:szCs w:val="2"/>
                <w:color w:val="auto"/>
              </w:rPr>
            </w:pPr>
          </w:p>
        </w:tc>
      </w:tr>
      <w:tr>
        <w:trPr>
          <w:trHeight w:val="169"/>
        </w:trPr>
        <w:tc>
          <w:tcPr>
            <w:tcW w:w="3620" w:type="dxa"/>
            <w:vAlign w:val="bottom"/>
          </w:tcPr>
          <w:p>
            <w:pPr>
              <w:spacing w:after="0"/>
              <w:rPr>
                <w:sz w:val="14"/>
                <w:szCs w:val="14"/>
                <w:color w:val="auto"/>
              </w:rPr>
            </w:pPr>
          </w:p>
        </w:tc>
        <w:tc>
          <w:tcPr>
            <w:tcW w:w="5540" w:type="dxa"/>
            <w:vAlign w:val="bottom"/>
          </w:tcPr>
          <w:p>
            <w:pPr>
              <w:ind w:left="20"/>
              <w:spacing w:after="0" w:line="169" w:lineRule="exact"/>
              <w:rPr>
                <w:sz w:val="20"/>
                <w:szCs w:val="20"/>
                <w:color w:val="auto"/>
              </w:rPr>
            </w:pPr>
            <w:r>
              <w:rPr>
                <w:rFonts w:ascii="Times New Roman" w:cs="Times New Roman" w:eastAsia="Times New Roman" w:hAnsi="Times New Roman"/>
                <w:sz w:val="18"/>
                <w:szCs w:val="18"/>
                <w:color w:val="auto"/>
              </w:rPr>
              <w:t>Glenn Coleman</w:t>
            </w:r>
          </w:p>
        </w:tc>
      </w:tr>
      <w:tr>
        <w:trPr>
          <w:trHeight w:val="184"/>
        </w:trPr>
        <w:tc>
          <w:tcPr>
            <w:tcW w:w="3620" w:type="dxa"/>
            <w:vAlign w:val="bottom"/>
          </w:tcPr>
          <w:p>
            <w:pPr>
              <w:spacing w:after="0"/>
              <w:rPr>
                <w:sz w:val="16"/>
                <w:szCs w:val="16"/>
                <w:color w:val="auto"/>
              </w:rPr>
            </w:pPr>
          </w:p>
        </w:tc>
        <w:tc>
          <w:tcPr>
            <w:tcW w:w="554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i w:val="1"/>
                <w:iCs w:val="1"/>
                <w:color w:val="auto"/>
              </w:rPr>
              <w:t>Corporate Executive Vice President and Chief Financial Officer</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May 7, 2026</w:t>
            </w:r>
          </w:p>
        </w:tc>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Charles River Laboratories, Inc.</w:t>
            </w:r>
          </w:p>
        </w:tc>
      </w:tr>
    </w:tbl>
    <w:p>
      <w:pPr>
        <w:spacing w:after="0" w:line="200" w:lineRule="exact"/>
        <w:rPr>
          <w:sz w:val="20"/>
          <w:szCs w:val="20"/>
          <w:color w:val="auto"/>
        </w:rPr>
      </w:pPr>
    </w:p>
    <w:p>
      <w:pPr>
        <w:spacing w:after="0" w:line="254" w:lineRule="exact"/>
        <w:rPr>
          <w:sz w:val="20"/>
          <w:szCs w:val="20"/>
          <w:color w:val="auto"/>
        </w:rPr>
      </w:pPr>
    </w:p>
    <w:p>
      <w:pPr>
        <w:ind w:right="620" w:firstLine="445"/>
        <w:spacing w:after="0" w:line="282" w:lineRule="auto"/>
        <w:rPr>
          <w:sz w:val="20"/>
          <w:szCs w:val="20"/>
          <w:color w:val="auto"/>
        </w:rPr>
      </w:pPr>
      <w:r>
        <w:rPr>
          <w:rFonts w:ascii="Times New Roman" w:cs="Times New Roman" w:eastAsia="Times New Roman" w:hAnsi="Times New Roman"/>
          <w:sz w:val="18"/>
          <w:szCs w:val="18"/>
          <w:color w:val="auto"/>
        </w:rPr>
        <w:t>This certification shall not be deemed "filed" for any purpose, nor shall it be deemed to be incorporated by reference into any filing under the Securities Act of 1933 or the Exchange Act.</w:t>
      </w:r>
    </w:p>
    <w:sectPr>
      <w:pgSz w:w="11900" w:h="16838" w:orient="portrait"/>
      <w:cols w:equalWidth="0" w:num="1">
        <w:col w:w="11240"/>
      </w:cols>
      <w:pgMar w:left="320" w:top="106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2200854"/>
    <w:multiLevelType w:val="hybridMultilevel"/>
    <w:lvl w:ilvl="0">
      <w:lvlJc w:val="left"/>
      <w:lvlText w:val="☐"/>
      <w:numFmt w:val="bullet"/>
      <w:start w:val="1"/>
    </w:lvl>
  </w:abstractNum>
  <w:abstractNum w:abstractNumId="1">
    <w:nsid w:val="4DB127F8"/>
    <w:multiLevelType w:val="hybridMultilevel"/>
    <w:lvl w:ilvl="0">
      <w:lvlJc w:val="left"/>
      <w:lvlText w:val="1"/>
      <w:numFmt w:val="bullet"/>
      <w:start w:val="1"/>
    </w:lvl>
  </w:abstractNum>
  <w:abstractNum w:abstractNumId="2">
    <w:nsid w:val="216231B"/>
    <w:multiLevelType w:val="hybridMultilevel"/>
    <w:lvl w:ilvl="0">
      <w:lvlJc w:val="left"/>
      <w:lvlText w:val="(%1)"/>
      <w:numFmt w:val="decimal"/>
      <w:start w:val="1"/>
    </w:lvl>
  </w:abstractNum>
  <w:abstractNum w:abstractNumId="3">
    <w:nsid w:val="1F16E9E8"/>
    <w:multiLevelType w:val="hybridMultilevel"/>
    <w:lvl w:ilvl="0">
      <w:lvlJc w:val="left"/>
      <w:lvlText w:val="(%1)"/>
      <w:numFmt w:val="decimal"/>
      <w:start w:val="1"/>
    </w:lvl>
  </w:abstractNum>
  <w:abstractNum w:abstractNumId="4">
    <w:nsid w:val="1190CDE7"/>
    <w:multiLevelType w:val="hybridMultilevel"/>
    <w:lvl w:ilvl="0">
      <w:lvlJc w:val="left"/>
      <w:lvlText w:val="(%1)"/>
      <w:numFmt w:val="decimal"/>
      <w:start w:val="1"/>
    </w:lvl>
  </w:abstractNum>
  <w:abstractNum w:abstractNumId="5">
    <w:nsid w:val="66EF438D"/>
    <w:multiLevelType w:val="hybridMultilevel"/>
    <w:lvl w:ilvl="0">
      <w:lvlJc w:val="left"/>
      <w:lvlText w:val="(%1)"/>
      <w:numFmt w:val="decimal"/>
      <w:start w:val="1"/>
    </w:lvl>
  </w:abstractNum>
  <w:abstractNum w:abstractNumId="6">
    <w:nsid w:val="140E0F76"/>
    <w:multiLevelType w:val="hybridMultilevel"/>
    <w:lvl w:ilvl="0">
      <w:lvlJc w:val="left"/>
      <w:lvlText w:val="(%1)"/>
      <w:numFmt w:val="decimal"/>
      <w:start w:val="1"/>
    </w:lvl>
  </w:abstractNum>
  <w:abstractNum w:abstractNumId="7">
    <w:nsid w:val="3352255A"/>
    <w:multiLevelType w:val="hybridMultilevel"/>
    <w:lvl w:ilvl="0">
      <w:lvlJc w:val="left"/>
      <w:lvlText w:val="(%1)"/>
      <w:numFmt w:val="decimal"/>
      <w:start w:val="1"/>
    </w:lvl>
  </w:abstractNum>
  <w:abstractNum w:abstractNumId="8">
    <w:nsid w:val="109CF92E"/>
    <w:multiLevelType w:val="hybridMultilevel"/>
    <w:lvl w:ilvl="0">
      <w:lvlJc w:val="left"/>
      <w:lvlText w:val="(%1)"/>
      <w:numFmt w:val="upperLetter"/>
      <w:start w:val="1"/>
    </w:lvl>
  </w:abstractNum>
  <w:abstractNum w:abstractNumId="9">
    <w:nsid w:val="DED7263"/>
    <w:multiLevelType w:val="hybridMultilevel"/>
    <w:lvl w:ilvl="0">
      <w:lvlJc w:val="left"/>
      <w:lvlText w:val="(%1)"/>
      <w:numFmt w:val="decimal"/>
      <w:start w:val="1"/>
    </w:lvl>
  </w:abstractNum>
  <w:abstractNum w:abstractNumId="10">
    <w:nsid w:val="7FDCC233"/>
    <w:multiLevelType w:val="hybridMultilevel"/>
    <w:lvl w:ilvl="0">
      <w:lvlJc w:val="left"/>
      <w:lvlText w:val="(%1)"/>
      <w:numFmt w:val="decimal"/>
      <w:start w:val="1"/>
    </w:lvl>
  </w:abstractNum>
  <w:abstractNum w:abstractNumId="11">
    <w:nsid w:val="1BEFD79F"/>
    <w:multiLevelType w:val="hybridMultilevel"/>
    <w:lvl w:ilvl="0">
      <w:lvlJc w:val="left"/>
      <w:lvlText w:val="(%1)"/>
      <w:numFmt w:val="decimal"/>
      <w:start w:val="1"/>
    </w:lvl>
  </w:abstractNum>
  <w:abstractNum w:abstractNumId="12">
    <w:nsid w:val="41A7C4C9"/>
    <w:multiLevelType w:val="hybridMultilevel"/>
    <w:lvl w:ilvl="0">
      <w:lvlJc w:val="left"/>
      <w:lvlText w:val="•"/>
      <w:numFmt w:val="bullet"/>
      <w:start w:val="1"/>
    </w:lvl>
  </w:abstractNum>
  <w:abstractNum w:abstractNumId="13">
    <w:nsid w:val="6B68079A"/>
    <w:multiLevelType w:val="hybridMultilevel"/>
    <w:lvl w:ilvl="0">
      <w:lvlJc w:val="left"/>
      <w:lvlText w:val="•"/>
      <w:numFmt w:val="bullet"/>
      <w:start w:val="1"/>
    </w:lvl>
  </w:abstractNum>
  <w:abstractNum w:abstractNumId="14">
    <w:nsid w:val="4E6AFB66"/>
    <w:multiLevelType w:val="hybridMultilevel"/>
    <w:lvl w:ilvl="0">
      <w:lvlJc w:val="left"/>
      <w:lvlText w:val="•"/>
      <w:numFmt w:val="bullet"/>
      <w:start w:val="1"/>
    </w:lvl>
  </w:abstractNum>
  <w:abstractNum w:abstractNumId="15">
    <w:nsid w:val="25E45D32"/>
    <w:multiLevelType w:val="hybridMultilevel"/>
    <w:lvl w:ilvl="0">
      <w:lvlJc w:val="left"/>
      <w:lvlText w:val="%1."/>
      <w:numFmt w:val="decimal"/>
      <w:start w:val="1"/>
    </w:lvl>
    <w:lvl w:ilvl="1">
      <w:lvlJc w:val="left"/>
      <w:lvlText w:val="%2."/>
      <w:numFmt w:val="lowerLetter"/>
      <w:start w:val="1"/>
    </w:lvl>
  </w:abstractNum>
  <w:abstractNum w:abstractNumId="16">
    <w:nsid w:val="519B500D"/>
    <w:multiLevelType w:val="hybridMultilevel"/>
    <w:lvl w:ilvl="0">
      <w:lvlJc w:val="left"/>
      <w:lvlText w:val="%1."/>
      <w:numFmt w:val="decimal"/>
      <w:start w:val="1"/>
    </w:lvl>
    <w:lvl w:ilvl="1">
      <w:lvlJc w:val="left"/>
      <w:lvlText w:val="%2."/>
      <w:numFmt w:val="lowerLetter"/>
      <w:start w:val="1"/>
    </w:lvl>
  </w:abstractNum>
  <w:abstractNum w:abstractNumId="17">
    <w:nsid w:val="431BD7B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2026-05-07T15:24:11Z</dcterms:created>
  <dcterms:modified xsi:type="dcterms:W3CDTF">2026-05-07T15:24:11Z</dcterms:modified>
</cp:coreProperties>
</file>