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00" w:lineRule="exact"/>
        <w:rPr>
          <w:sz w:val="24"/>
          <w:szCs w:val="24"/>
          <w:color w:val="auto"/>
        </w:rPr>
      </w:pPr>
    </w:p>
    <w:p>
      <w:pPr>
        <w:ind w:left="3500" w:right="820" w:hanging="2513"/>
        <w:spacing w:after="0" w:line="412" w:lineRule="auto"/>
        <w:tabs>
          <w:tab w:leader="none" w:pos="16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27, 2025</w:t>
      </w:r>
    </w:p>
    <w:p>
      <w:pPr>
        <w:spacing w:after="0" w:line="356" w:lineRule="exact"/>
        <w:rPr>
          <w:sz w:val="24"/>
          <w:szCs w:val="24"/>
          <w:color w:val="auto"/>
        </w:rPr>
      </w:pPr>
    </w:p>
    <w:p>
      <w:pPr>
        <w:ind w:left="1560" w:hanging="648"/>
        <w:spacing w:after="0"/>
        <w:tabs>
          <w:tab w:leader="none" w:pos="1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224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CHARLES RIVER LABORATORIES INTERNATIONAL, INC.</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988" w:right="339" w:bottom="1440" w:gutter="0" w:footer="0" w:header="0"/>
        </w:sectPr>
      </w:pPr>
    </w:p>
    <w:p>
      <w:pPr>
        <w:spacing w:after="0" w:line="17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06-1397316</w:t>
      </w:r>
    </w:p>
    <w:p>
      <w:pPr>
        <w:spacing w:after="0" w:line="179" w:lineRule="exact"/>
        <w:rPr>
          <w:sz w:val="24"/>
          <w:szCs w:val="24"/>
          <w:color w:val="auto"/>
        </w:rPr>
      </w:pPr>
    </w:p>
    <w:p>
      <w:pPr>
        <w:sectPr>
          <w:pgSz w:w="11900" w:h="16838" w:orient="portrait"/>
          <w:cols w:equalWidth="0" w:num="2">
            <w:col w:w="7560" w:space="720"/>
            <w:col w:w="2960"/>
          </w:cols>
          <w:pgMar w:left="320" w:top="988"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line="123" w:lineRule="exact"/>
        <w:rPr>
          <w:sz w:val="24"/>
          <w:szCs w:val="24"/>
          <w:color w:val="auto"/>
        </w:rPr>
      </w:pPr>
    </w:p>
    <w:p>
      <w:pPr>
        <w:sectPr>
          <w:pgSz w:w="11900" w:h="16838" w:orient="portrait"/>
          <w:cols w:equalWidth="0" w:num="2">
            <w:col w:w="7400" w:space="720"/>
            <w:col w:w="31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75" w:lineRule="exact"/>
        <w:rPr>
          <w:sz w:val="24"/>
          <w:szCs w:val="24"/>
          <w:color w:val="auto"/>
        </w:rPr>
      </w:pPr>
    </w:p>
    <w:p>
      <w:pPr>
        <w:sectPr>
          <w:pgSz w:w="11900" w:h="16838" w:orient="portrait"/>
          <w:cols w:equalWidth="0" w:num="2">
            <w:col w:w="7360" w:space="720"/>
            <w:col w:w="3160"/>
          </w:cols>
          <w:pgMar w:left="320" w:top="988"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color w:val="auto"/>
        </w:rPr>
        <w:t>251 Ballardvale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01887</w:t>
      </w:r>
    </w:p>
    <w:p>
      <w:pPr>
        <w:spacing w:after="0" w:line="179" w:lineRule="exact"/>
        <w:rPr>
          <w:sz w:val="24"/>
          <w:szCs w:val="24"/>
          <w:color w:val="auto"/>
        </w:rPr>
      </w:pPr>
    </w:p>
    <w:p>
      <w:pPr>
        <w:sectPr>
          <w:pgSz w:w="11900" w:h="16838" w:orient="portrait"/>
          <w:cols w:equalWidth="0" w:num="4">
            <w:col w:w="3920" w:space="720"/>
            <w:col w:w="720" w:space="460"/>
            <w:col w:w="1900" w:space="720"/>
            <w:col w:w="2800"/>
          </w:cols>
          <w:pgMar w:left="320" w:top="988" w:right="33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23" w:lineRule="exact"/>
        <w:rPr>
          <w:sz w:val="24"/>
          <w:szCs w:val="24"/>
          <w:color w:val="auto"/>
        </w:rPr>
      </w:pPr>
    </w:p>
    <w:p>
      <w:pPr>
        <w:sectPr>
          <w:pgSz w:w="11900" w:h="16838" w:orient="portrait"/>
          <w:cols w:equalWidth="0" w:num="2">
            <w:col w:w="7580" w:space="720"/>
            <w:col w:w="2940"/>
          </w:cols>
          <w:pgMar w:left="320" w:top="988" w:right="339" w:bottom="1440" w:gutter="0" w:footer="0" w:header="0"/>
          <w:type w:val="continuous"/>
        </w:sect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(781) 222-6000</w:t>
      </w:r>
    </w:p>
    <w:p>
      <w:pPr>
        <w:spacing w:after="0" w:line="2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ectPr>
          <w:pgSz w:w="11900" w:h="16838" w:orient="portrait"/>
          <w:cols w:equalWidth="0" w:num="1">
            <w:col w:w="11240"/>
          </w:cols>
          <w:pgMar w:left="320" w:top="988" w:right="339" w:bottom="1440" w:gutter="0" w:footer="0" w:header="0"/>
          <w:type w:val="continuous"/>
        </w:sectPr>
      </w:pPr>
    </w:p>
    <w:p>
      <w:pPr>
        <w:spacing w:after="0" w:line="26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4" w:lineRule="exact"/>
        <w:rPr>
          <w:sz w:val="24"/>
          <w:szCs w:val="24"/>
          <w:color w:val="auto"/>
        </w:rPr>
      </w:pPr>
    </w:p>
    <w:p>
      <w:pPr>
        <w:ind w:left="1100"/>
        <w:spacing w:after="0"/>
        <w:tabs>
          <w:tab w:leader="none" w:pos="3400" w:val="left"/>
        </w:tabs>
        <w:rPr>
          <w:sz w:val="20"/>
          <w:szCs w:val="20"/>
          <w:color w:val="auto"/>
        </w:rPr>
      </w:pPr>
      <w:r>
        <w:rPr>
          <w:rFonts w:ascii="Times New Roman" w:cs="Times New Roman" w:eastAsia="Times New Roman" w:hAnsi="Times New Roman"/>
          <w:sz w:val="17"/>
          <w:szCs w:val="17"/>
          <w:b w:val="1"/>
          <w:bCs w:val="1"/>
          <w:color w:val="auto"/>
        </w:rPr>
        <w:t>Ticker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8" w:lineRule="exact"/>
        <w:rPr>
          <w:sz w:val="24"/>
          <w:szCs w:val="24"/>
          <w:color w:val="auto"/>
        </w:rPr>
      </w:pPr>
    </w:p>
    <w:p>
      <w:pPr>
        <w:sectPr>
          <w:pgSz w:w="11900" w:h="16838" w:orient="portrait"/>
          <w:cols w:equalWidth="0" w:num="2">
            <w:col w:w="2980" w:space="560"/>
            <w:col w:w="7700"/>
          </w:cols>
          <w:pgMar w:left="320" w:top="988" w:right="3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CRL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31" w:lineRule="exact"/>
        <w:rPr>
          <w:sz w:val="24"/>
          <w:szCs w:val="24"/>
          <w:color w:val="auto"/>
        </w:rPr>
      </w:pPr>
    </w:p>
    <w:p>
      <w:pPr>
        <w:sectPr>
          <w:pgSz w:w="11900" w:h="16838" w:orient="portrait"/>
          <w:cols w:equalWidth="0" w:num="3">
            <w:col w:w="4360" w:space="720"/>
            <w:col w:w="1820" w:space="720"/>
            <w:col w:w="3620"/>
          </w:cols>
          <w:pgMar w:left="320" w:top="988"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ind w:right="1820"/>
        <w:spacing w:after="0" w:line="29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900"/>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pacing w:after="0" w:line="1" w:lineRule="exact"/>
        <w:rPr>
          <w:sz w:val="24"/>
          <w:szCs w:val="24"/>
          <w:color w:val="auto"/>
        </w:rPr>
      </w:pPr>
    </w:p>
    <w:p>
      <w:pPr>
        <w:ind w:right="4380"/>
        <w:spacing w:after="0" w:line="273" w:lineRule="exact"/>
        <w:rPr>
          <w:sz w:val="20"/>
          <w:szCs w:val="20"/>
          <w:color w:val="auto"/>
        </w:rPr>
      </w:pPr>
      <w:r>
        <w:rPr>
          <w:rFonts w:ascii="Times New Roman" w:cs="Times New Roman" w:eastAsia="Times New Roman" w:hAnsi="Times New Roman"/>
          <w:sz w:val="17"/>
          <w:szCs w:val="17"/>
          <w:color w:val="auto"/>
        </w:rPr>
        <w:t xml:space="preserve">of the Exchange Act. 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64" w:lineRule="exact"/>
        <w:rPr>
          <w:sz w:val="24"/>
          <w:szCs w:val="24"/>
          <w:color w:val="auto"/>
        </w:rPr>
      </w:pPr>
    </w:p>
    <w:p>
      <w:pPr>
        <w:ind w:right="42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7" w:lineRule="exact"/>
        <w:rPr>
          <w:sz w:val="24"/>
          <w:szCs w:val="24"/>
          <w:color w:val="auto"/>
        </w:rPr>
      </w:pPr>
    </w:p>
    <w:p>
      <w:pPr>
        <w:jc w:val="both"/>
        <w:ind w:right="24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9" w:lineRule="exact"/>
        <w:rPr>
          <w:sz w:val="24"/>
          <w:szCs w:val="24"/>
          <w:color w:val="auto"/>
        </w:rPr>
      </w:pPr>
    </w:p>
    <w:p>
      <w:pPr>
        <w:ind w:right="440"/>
        <w:spacing w:after="0" w:line="225"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5" w:lineRule="exact"/>
        <w:rPr>
          <w:sz w:val="20"/>
          <w:szCs w:val="20"/>
          <w:color w:val="auto"/>
        </w:rPr>
      </w:pPr>
    </w:p>
    <w:p>
      <w:pPr>
        <w:spacing w:after="0" w:line="196" w:lineRule="exact"/>
        <w:tabs>
          <w:tab w:leader="none" w:pos="842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28, 2025, the aggregate market value of the registrant’s voting common stock held by non-affiliates of the registrant was approximately $7,322,905,711.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24, 2026, there were 49,227,800 shares of the registrant’s common stock outstanding, $0.01 par value per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2026 Annual Meeting of Shareholders currently scheduled to be held on May 5, 2026, which will be filed with the Securities and Exchange Commission (SEC) not later than 120 days after December 27, 2025, are incorporated by reference into Part III of this Annual Report on Form 10-K. With the exception of the portions of the 2026 Proxy Statement expressly incorporated into this Annual Report on Form 10-K by reference, such document shall not be deemed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sectPr>
      </w:pPr>
    </w:p>
    <w:bookmarkStart w:id="2" w:name="page3"/>
    <w:bookmarkEnd w:id="2"/>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CHARLES RIVER LABORATORIES INTERNATIONAL, INC.</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FISCAL YEAR 2025</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Item</w:t>
            </w:r>
          </w:p>
        </w:tc>
        <w:tc>
          <w:tcPr>
            <w:tcW w:w="966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1A</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1B</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1C</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Market for Registrant’s Common Equity, Related Stockholder Matters and Issuer Purchases of 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6</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7A</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8</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9</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9A</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9B</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9C</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11</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12</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13</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14</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15</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16</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Signatures</w:t>
            </w:r>
          </w:p>
        </w:tc>
        <w:tc>
          <w:tcPr>
            <w:tcW w:w="96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8"/>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 For example, we may use forward-looking statements when addressing topics such as: our expectations regarding the availability of non-human primates and our ability to diversify our non-human primate (NHP) supply chain; the outcome of (1) the putative securities class action lawsuit filed against us and certain current/former officers on May 19, 2023; (2) the derivative lawsuit filed against members of the Board of Directors and certain current/former officers on November 8, 2023; and (3) the derivative lawsuit filed against certain current/former members of the Board of Directors and certain current/former officers on August 2, 2024; the timing and impact of the development and implementation of enhanced procedures to reasonably ensure that non-human primates we import are purpose-bred; changes and uncertainties in the global economy and financial markets; client demand, particularly future demand for drug discovery and development products and services, including the outsourcing of these services; our expectations with respect to our ability to meet financial targets; the Company’s plans or prospects, expectations and long-term goals associated with our business; the Company's expectations concerning future financial and operating performance, including the Company's commitment to, and ability to create long-term value for shareholders and to successfully execute on the Board of Directors’ comprehensive strategic review and evaluation of Charles River’s business and prospects; our expectations regarding stock repurchases, including the number of shares to be repurchased, expected timing and duration, the amount of capital that may be expended and the treatment of repurchased shares; our ability to successfully execute our business strategy;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terms, projected timing, and planned funding; our expectations with respect to revenue growth and operating synergies (including the impact of specific actions intended to cause related improvements); the nature, timing and impact of specific actions intended to improve overall operating efficiencies and profitability (and our ability to accommodate future demand with our infrastructure), including actions to optimize our global footprint, and gains and losses attributable to businesses we plan to close, consolidate, divest or repurpose and the impact of operations and restructuring actions (including as estimated on an annualized basis); our expectations with respect to study cancellation rates and the impact of such cancellations; our expectations with respect to tax rates and benefits, including the impact of tax legislation on our operations;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the impact of newly issued accounting pronouncements on our consolidated financial statements and related disclosures; and the impact of litigation, including our ability to successfully defend litigation against us. In addition, these statements include the impact of economic and market conditions on us and our clients, the effects of our cost-saving actions, including on an annualized basis, and the steps to optimize returns to shareholders on an effective and timely basis; and our ability to withstand the current market conditions.</w:t>
      </w:r>
    </w:p>
    <w:p>
      <w:pPr>
        <w:spacing w:after="0" w:line="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this Form 10-K under the sections entitled “Our Strategy,” “Risk Factors,” “Management's Discussion and Analysis of Financial Condition and Results of Operations,” in our press releases and other financial filings with the SEC.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We began operating in 1947 and, since then, have undergone several changes to our business structure. Charles River Laboratories International, Inc. was incorporated in 1994 and we completed our initial public offering in 2000. Our stock is traded on the New York Stock Exchange under the symbol “CRL” and is included in the Standard &amp; Poor’s 500 and Composite 1500 indices, the New York Stock Exchange (NYSE) Arca Biotechnology Index, the NYSE Composite and many of the Russell indices, among others. We are headquartered in Wilmington, Massachusetts. Our headquarters mailing address is 251 Ballardvale Street, Wilmington, MA, 01887, and the telephone number at that location is (781) 222-6000. Our Internet site is www.criver.com. Material contained on our Internet site is not incorporated by reference into this Form 10-K. Unless the context otherwise requires, references in this Form 10-K to “Charles River,” “we,” “us,” “the Company” or “our” refer to Charles River Laboratories International, Inc. and its subsidiaries.</w:t>
      </w:r>
    </w:p>
    <w:p>
      <w:pPr>
        <w:spacing w:after="0" w:line="6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This Form 10-K, as well as all other reports filed with the SEC, is available free of charge through the Investor Relations section of our Internet site (www.criver.com) as soon as practicable after we electronically file such material with, or furnish it to, the SEC. The SEC maintains an Internet site (http://www.sec.gov) that contains reports, proxy and information statements, and other information regarding issuers that file electronically with the SEC.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 leading, full service, non-clinical global drug development partner with a mission to create healthier lives.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development of new drugs requires a steadily increasing investment of time and money. Various studies and reports estimate that it takes between 10 to 15 years, up to $2.6 billion excluding time costs and exploration of between 10,000 and 15,000 drug molecules to produce a single Food and Drug Administration (FDA)-approved drug.</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Discovery represents the earliest stages of research in the life sciences, directed at the identification, screening, and selection of a lead molecule for future drug development. Discovery activities typically extend anywhere from 4 to 7 years in conventional pharmaceutical research and development (R&amp;D) timelines.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Development activities, which follow, and which can take up to 7 to 10 years, are directed at demonstrating the safety, tolerability and clinical efficacy of the selected drug candidates. During the non-clinical stage of the development process, a drug candidate is tested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typically on a cellular or sub-cellular level in a test tube or multi-well petri plate)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to establish drug safety prior to and in support of human clinical trials.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over 75 years, we have been in the business of providing the research models required in the research and development of new drugs, devices and therapies. Over this time, we have built upon our core competency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biology to develop a diverse and continuously expanding portfolio of products and services, which now encompasses the broader non-clinical drug research process. We are positioned to leverage our leading portfolio in non-clinical drug research in an efficient and cost-effective way to aid our clients in bringing their drugs to market faster.</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 In recent years, we have focused our efforts on improving the efficiency of our global operations to enhance our ability to support our clients. Our pharmaceutical and biotechnology clients are increasingly seeking full service, “one-stop” global partners to whom they can outsource more of their drug discovery and development efforts. It is estimated that the market for regulated safety assessment services is 60% outsourced or more, while emerging growth areas such as discovery and certain research model services are currently believed to be less outsourced.</w:t>
      </w:r>
    </w:p>
    <w:p>
      <w:pPr>
        <w:spacing w:after="0" w:line="81"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We currently operate in over 120 sites and in over 20 countries worldwide (excluding certain Insourcing Solutions sites). Our products and services, supported by our global infrastructure and deep scientific expertise, enable our clients to overcome many of the challenges of non-clinical life sciences research. In 2025, our total revenue was $4.0 billion. As part of our efforts to manage the Company through the current demand environment, we have undertaken a comprehensive review of our global footprint. Through these optimization initiatives, we expect to close or consolidate approximately 12 additional sites over the next two years, principally focused on the DSA and RMS segments. These footprint optimization efforts will enhance the efficiency and economies of scale in our global infrastructure, leading to a more disciplined operating model.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have three reportable segments: Research Models and Services (RMS), Discovery and Safety Assessment (DSA) and Manufacturing Solutions (Manufacturing).</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Through our RMS segment, we have provided foundational tools for the discovery of new molecules by supplying research models to the drug development industry since 1947. We continue to maintain our position as a global leader in the production and sale of the most widely used research models, including over 140 different stocks and strains of purpose-bred rodents. We also provide a variety of related services that are designed to support our clients in the use of research models in drug discovery and development. We maintain multiple production centers, including barrier rooms and isolator facilities, on three continents (North America, Europe, and Asia). We are also a premier provider of high quality, purpose bred, large research models to the biomedical research community. Our RMS segment also includes our Insourcing Solutions business, which includes our CRADL™ (Charles River Accelerator and Development Lab) footprint. In 2025, RMS accounted for 21.1% of our total revenue and approximately 4,140 of our employees, including approximately 190 science professionals with advanced degrees.</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DSA segment provides services that enable our clients to outsource their innovative drug discovery research, their related non-clinical and clinical bioanalytical activities, and regulatory-required safety testing of potential new drugs, vaccines, industrial and agricultural chemicals, consumer products, veterinary medicines and medical devices. The demand for these services is driven by the needs of large global pharmaceutical companies where outsourcing may complement internal activities, in addition to mid-size and emerging biotechnology/biopharma pharmaceutical companies, hospitals, academic institutions, contract research organizations, and industrial and agrochemical companies and non-governmental organizations that rely more heavily on outsourcing partners. Many of these entities choose to outsource their discovery, development, bioanalytical and/or safety assessment activities to reduce fixed costs and to gain access to scientific expertise, robust capabilities, and regulatory experience.</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the largest provider of outsourced drug discovery, non-clinical development and regulated safety testing services worldwide. We have extensive expertise in the discovery of clinical candidates and in the design, execution and reporting of safety assessment studies for numerous types of therapeutic modalities, including cell and gene therapies, small and large molecule pharmaceuticals, industrial and agricultural chemicals, vaccines, consumer products, veterinary medicines, biocides and medical devices. We currently provide discovery and safety assessment services at multiple facilities located in the United States (U.S.), Canada, and Europe. In 2025, our DSA segment represented 59.8% of our total revenue and employed approximately 11,760 of our employees including approximately 1,680 science professionals with advanced degrees.</w:t>
      </w:r>
    </w:p>
    <w:p>
      <w:pPr>
        <w:spacing w:after="0" w:line="7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Within our Manufacturing segment, we work with our clients and the biopharmaceutical industry to ensure the quality and safe production and release of commercial therapies and products manufactured both by our clients and internally for our clients. Our Manufacturing Segment is comprised of two businesses: Microbial Solutions and Biologics Solutions. Our Microbial Solutions products and services businesses provide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methods for conventional and rapid quality control testing of sterile and non-sterile pharmaceuticals and consumer products. Biologics Solutions is comprised of both our Biologics Testing Solutions business, which provides specialized testing of biologics frequently outsourced by global pharmaceutical and biotechnology companies, and our contract development and manufacturing products and services (“CDMO”) business, which provides comprehensive contract development and manufacturing solutions for cell and gene therapies. In 2025, Manufacturing accounted for 19.1% of our total revenue and approximately 2,600 of our employees, including approximately 350 science professionals with advanced degrees.</w:t>
      </w:r>
    </w:p>
    <w:p>
      <w:pPr>
        <w:spacing w:after="0" w:line="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Research Models and Services</w:t>
      </w:r>
      <w:r>
        <w:rPr>
          <w:rFonts w:ascii="Times New Roman" w:cs="Times New Roman" w:eastAsia="Times New Roman" w:hAnsi="Times New Roman"/>
          <w:sz w:val="18"/>
          <w:szCs w:val="18"/>
          <w:color w:val="auto"/>
        </w:rPr>
        <w:t>. Our RMS segment is comprised of three businesses that provide foundational tools that enable our clients to discover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molecules: Research Models, Research Model Services and Cell Solutions.</w:t>
      </w:r>
    </w:p>
    <w:p>
      <w:pPr>
        <w:spacing w:after="0" w:line="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Models</w:t>
      </w:r>
      <w:r>
        <w:rPr>
          <w:rFonts w:ascii="Times New Roman" w:cs="Times New Roman" w:eastAsia="Times New Roman" w:hAnsi="Times New Roman"/>
          <w:sz w:val="18"/>
          <w:szCs w:val="18"/>
          <w:color w:val="auto"/>
        </w:rPr>
        <w:t>. Our Research Models business is principally comprised of the production and sale of the most widely used small research models,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rodents. A significant portion of our Research Models business involves the commercial production and sale of small research models, typically purpose-bred rats and mice for use by researchers in fundamental biology through to drug discovery and development. The FDA and foreign regulatory agencies require that the safety and efficacy of most new drug candidates be tested on research models like ours prior to testing in humans. As a result, our research models are an essential part of the drug discovery and development process.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provide our research models to numerous clients around the world, including most pharmaceutical companies, a broad range of biotechnology companies, contract research organizations and many government agencies, hospitals, and academic institutions. We have a global footprint with production facilities strategically located in 7 countries, in close proximity to major biohubs and client concentrations. Our research models include commonly used laboratory strains, disease models and specialized strains with compromised immune systems, which are in demand as early-stage tools in the drug research and development process.</w:t>
      </w:r>
    </w:p>
    <w:p>
      <w:pPr>
        <w:spacing w:after="0" w:line="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research models we supply have been, and continue to be, some of the most extensively used in the world, largely as a result of our geographic footprint and continuous commitment to innovation, quality, and biosecurity. Our research models are bred and maintained in controlled environments, which are designed to ensure that the models are free of specific viral and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bacterial agents and other contaminants that can disrupt research operations and distort scientific results. With our production capabilities, we are able to deliver consistently high-quality research models worldwide.</w:t>
      </w:r>
    </w:p>
    <w:p>
      <w:pPr>
        <w:spacing w:after="0" w:line="4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small research models include inbred, outbred, and hybrid strains, as well as mutant strains, genetically engineered models and humanized models with biological features, which enable research aims. Certain strains of our research models are proprietary rodent models used to research treatments in several therapeutic areas. We are also a premier provider of high quality, purpose bred, large research models to the biomedical research community. While we provide some non-human primates directly to clients who utilize them primarily for safety testing of new therapies, most of the non-human primates associated with our business are utilized in connection with our clients’ studies conducted by our Safety Assessment services in our DSA business. In both cases - non-human primates we provide directly to clients and non-human primates which are utilized through our Safety Assessment services – these large research models are sourced from Charles River internally or from Charles River audited and approved suppliers. In January 2026, we acquired certain assets of K.F. (Cambodia) Ltd., a Cambodia-based provider of non-human primates for regulatory required biomedical, pharmaceutical, and toxicological research purposes. K.F. (Cambodia) Ltd. is now a part of the Company's DSA reporting segment for the purpose of being vertically integrated into DSA supply operations and the RMS reporting segment for those NHPs sold to third party customers.</w:t>
      </w:r>
    </w:p>
    <w:p>
      <w:pPr>
        <w:spacing w:after="0" w:line="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Model Services. </w:t>
      </w:r>
      <w:r>
        <w:rPr>
          <w:rFonts w:ascii="Times New Roman" w:cs="Times New Roman" w:eastAsia="Times New Roman" w:hAnsi="Times New Roman"/>
          <w:sz w:val="18"/>
          <w:szCs w:val="18"/>
          <w:color w:val="auto"/>
        </w:rPr>
        <w:t>RMS offers a variety of flexible solutions designed to support our clients' use of research models in basic research and screening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pre-clinical drug candidates. These services address the need among pharmaceutical and biotechnology companies to outsource the non-core aspects of their drug discovery activities. Our services include those related to the maintenance and monitoring of research models, and managing research operations for government entities, academic organizations, and commercial clients. Our expanded service offering provides greater flexibility for our clients’ research and supports increased scientific complexity. We currently have three service offerings in research models services: Insourcing Solutions, Genetically Engineered Models and Services (GEMS), and Research Animal Diagnostic Services (RADS).</w:t>
      </w:r>
    </w:p>
    <w:p>
      <w:pPr>
        <w:spacing w:after="0" w:line="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Insourcing Solutions</w:t>
      </w:r>
      <w:r>
        <w:rPr>
          <w:rFonts w:ascii="Times New Roman" w:cs="Times New Roman" w:eastAsia="Times New Roman" w:hAnsi="Times New Roman"/>
          <w:sz w:val="18"/>
          <w:szCs w:val="18"/>
          <w:color w:val="auto"/>
        </w:rPr>
        <w:t>. We manage the research operations of government entities, academic organizations and commercial clients (including recruitment,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staffing and management services) both within our clients’ facilities and utilizing our Charles River Accelerator and Development Lab (CRADL™) offerings, where we provide vivarium space to our clients. Some research institutions prefer to retain certain elements of their research in-house, while outsourcing staffing and management, thus driving demand for our services. We believe that our expertise in early-stage drug research, and in particular research model care, scientific and technical support, facility operations, and discovery and development services, enhances the productivity and quality of our clients’ research programs.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Genetically Engineered Models and Services</w:t>
      </w:r>
      <w:r>
        <w:rPr>
          <w:rFonts w:ascii="Times New Roman" w:cs="Times New Roman" w:eastAsia="Times New Roman" w:hAnsi="Times New Roman"/>
          <w:sz w:val="18"/>
          <w:szCs w:val="18"/>
          <w:color w:val="auto"/>
        </w:rPr>
        <w:t>. We create, breed and maintain research models required by our clients for biomedical research activities.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creation of a genetically engineered model (GEM) is a critical scientific event, but it is only one step in the discovery process, and our scientists can advise clients on how to efficiently create custom models utilizing in-licensed technologies and approaches to modify the genome. Productive utilization of GEMs requires significant additional technical expertise in order to properly support basic and early discovery research. We provide breeding expertise and colony expansion, quarantine, health and genetic testing and monitoring, germplasm cryopreservation and rederivation, including assisted reproduction and model creation. Our team of project managers is supported by a proprietary, technologically advanced Internet Colony Management (ICM™) system that allows for real-time data exchange. We provide these services to clients around the world, including pharmaceutical and biotechnology companies, hospitals, universities, and government agencies.</w:t>
      </w:r>
    </w:p>
    <w:p>
      <w:pPr>
        <w:spacing w:after="0" w:line="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Research Animal Diagnostic Services</w:t>
      </w:r>
      <w:r>
        <w:rPr>
          <w:rFonts w:ascii="Times New Roman" w:cs="Times New Roman" w:eastAsia="Times New Roman" w:hAnsi="Times New Roman"/>
          <w:sz w:val="18"/>
          <w:szCs w:val="18"/>
          <w:color w:val="auto"/>
        </w:rPr>
        <w:t>. We monitor and analyze the health profiles of our clients’ research models and research biologics by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infectious agents and pathology. We developed this capability internally to address the quality control of our research model business. We can serve as our clients’ sole-source testing laboratory, or as an alternative source supporting our clients’ internal laboratory capabilities. We believe we are the reference laboratory of choice for health assessment of laboratory research models and an industry leader in the field of laboratory animal diagnostics.</w:t>
      </w:r>
    </w:p>
    <w:p>
      <w:pPr>
        <w:spacing w:after="0" w:line="7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Cell Solutions</w:t>
      </w:r>
      <w:r>
        <w:rPr>
          <w:rFonts w:ascii="Times New Roman" w:cs="Times New Roman" w:eastAsia="Times New Roman" w:hAnsi="Times New Roman"/>
          <w:sz w:val="18"/>
          <w:szCs w:val="18"/>
          <w:color w:val="auto"/>
        </w:rPr>
        <w:t>. Our Cell Solutions business provides consenting human donor-derived cellular materials used in the development and production of 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therapies. The business supplies controlled, consistent, customized primary cells and blood components derived from normal and mobilized peripheral blood and bone marrow, as well as cells from disease state donors. Our Cell Solutions business supports biotechnology and pharmaceutical companies, academic institutions and other research organizations who rely on high-quality, viable and functional human primary cells and blood components for biomedical and drug discovery research and cell therapy development, including clinical trials.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and Safety Assessment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currently offer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laboratory support services, such as bioanalytical and strategic non-clinical consulting and program management.</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2025, we initiated the integration of our Discovery Services and Safety Assessment businesses into one overarching DSA organization. This unification leverages a combined sales force and leadership approach, with integrated scientific expertise to facilitate a more seamless client experience and make us a stronger and even more responsive partner for our clients.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Discovery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 single source of services for discovering and characterizing novel drug candidates for preclinical development by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full spectrum of discovery services — from identification and validation of novel targets, low molecular weight small molecule compounds, oligonucleotides, and biotherapeutics with actual or potential intellectual property value, through to delivery of preclinical drug and therapeutic candidates ready for safety assessment and progression toward the clinic. Discovery services can streamline and enhance drug discovery programs for our clients, providing expertise and capabilities in all stages of discovery and all major modalities including small molecules, biologics, oligonucleotides, and cell and gene therapies. In the discovery phase, we leverage our capabilities in pharmacokinetics, pharmacology, non-GLP toxicity assays, and predictive models to enable exposure and efficacy assessments, and the early identification and mitigation of potential safety issues to ensure a smooth progression into regulatory safety assessment. We have in depth capabilities in formulation and pharmaceutics to provide seamless transfer of optimized drug substance from the discovery phase into pre-clinical development and safety assessment. Our Safety Assessment teams can flag unexpected issues observed in regulatory toxicology to our Discovery Services team that might be resolved by further optimization within Discovery Services, enabling clients to potentially regain momentum in pre-clinical programs after resolution of the issues. Our seamless offering portfolio, along with our broad expertise and capabilities allow us to better engage with clients at any stage of their drug discovery programs and support their complex scientific needs. We focus on major therapeutic areas, with a strategic emphasis on neuroscience, oncology, and immunology. We believe there are growing opportunities to assist our clients in a variety of drug discovery applications and platforms, from target discovery to candidate selection and across the full range of modalities.</w:t>
      </w:r>
    </w:p>
    <w:p>
      <w:pPr>
        <w:spacing w:after="0" w:line="8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a leader in integrated drug discovery services. Our full suite of service offerings, together with our knowledge and expertise, allows us to engage and support our clients at any stage of their discovery or early-stage development programs, including the design and implementation of their research programs, and to stay with them through the entire drug discovery process, providing a seamless end-to-end offering. Our offerings include:</w:t>
      </w:r>
    </w:p>
    <w:p>
      <w:pPr>
        <w:spacing w:after="0" w:line="6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discovery and validation;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biology;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deconvolution through proteomics and cell microarray technology;</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 identification, hit-to-lead progression and lead optimization to deliver candidate molecules across modalities, making use of state-of-the-art techniques such as computer-aided drug design, structural biology, cell painting, and machine learning/artificial intelligence;</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early non-clinical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toxicity and safety studies to assess off-target toxicities, including studies required for regulatory approval;</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early non-clinical pharmacokinetic and pharmacodynamic studies, transporter-mediated drug-drug interaction,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assays to assess mechanism, bioavailability and metabolism as required for regulatory approval;</w:t>
      </w:r>
    </w:p>
    <w:p>
      <w:pPr>
        <w:spacing w:after="0" w:line="50"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appropriate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Discovery Services evaluation, which is essential to generate confidence in the efficacy and initial safety of a novel therapeutic agent, its fate in an intact mammalian system and its potential to translate into an efficacious treatment in humans; and</w:t>
      </w:r>
    </w:p>
    <w:p>
      <w:pPr>
        <w:spacing w:after="0" w:line="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engagement and safety biomarker development to support non-clinical and potentially downstream clinical studies.</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Assessment. </w:t>
      </w:r>
      <w:r>
        <w:rPr>
          <w:rFonts w:ascii="Times New Roman" w:cs="Times New Roman" w:eastAsia="Times New Roman" w:hAnsi="Times New Roman"/>
          <w:sz w:val="18"/>
          <w:szCs w:val="18"/>
          <w:color w:val="auto"/>
        </w:rPr>
        <w:t>We offer a full range of safety assessment studies required for regulatory submission on a global basis across all therapeutic areas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biotechnology, industrial chemical, agrochemicals, consumer products, veterinary medicines and medical devices industries. We are a global leader in both non-regulated and regulated GLP outsourced safety assessment services and provide expertise in a variety of therapeutic areas and modalities.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Toxicology. </w:t>
      </w:r>
      <w:r>
        <w:rPr>
          <w:rFonts w:ascii="Times New Roman" w:cs="Times New Roman" w:eastAsia="Times New Roman" w:hAnsi="Times New Roman"/>
          <w:sz w:val="18"/>
          <w:szCs w:val="18"/>
          <w:color w:val="auto"/>
        </w:rPr>
        <w:t>In addition to offering standard toxicology services, we also provide a broad range of specialty toxicology offering from inhalation and infusion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developmental and reproductive toxicology. Our services include an extensive offering of capabilities and study types designed to identify possible safety risks as well as a comprehensive offering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support of general toxicology (acute, sub-acute and chronic studies), genetic toxicology, safety pharmacology, off-target screening, receptor identification profiling, reproductive and developmental toxicology, juvenile toxicology, and carcinogenicity bioassays that are required for regulatory submissions supporting “first-in-human” to “first-to-the-market” strategies for potential human therapeutics. Additionally, we support safety studies in numerous specialty areas including cell and gene therapies, ecotoxicology, environmental risk, musculoskeletal toxicology, neurotoxicology, ocular toxicology, ototoxicology, and phototoxicology. We have expertise in the design and execution of development programs in support of a broad diversity of therapeutic modalities in numerous laboratory species and test systems. We also support safety studies to test industrial chemical, agrochemicals, consumer products, veterinary medicines and medical devices. For human pharmaceutical candidates, once a lead candidate is selected, toxicology studies are required to support clinical trials in humans and for</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regulatory approval. These toxicology studies focus on assessing the safety of the potential therapeutic to determine if administration to humans might cause any unintended harmful effects. For new chemicals, industrial chemicals, agrochemicals, veterinary medicines, consumer products and medical devices, safety studies are performed to identify potential hazards to humans and the environment and are required for regulatory registration. Toxicology studies performed for any of these compounds are typically performed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research models to identify any potential adverse effects that a compound has on an organism or tissue over a variety of doses and over various time periods of exposure.</w:t>
      </w:r>
    </w:p>
    <w:p>
      <w:pPr>
        <w:spacing w:after="0" w:line="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Pathology Services. </w:t>
      </w:r>
      <w:r>
        <w:rPr>
          <w:rFonts w:ascii="Times New Roman" w:cs="Times New Roman" w:eastAsia="Times New Roman" w:hAnsi="Times New Roman"/>
          <w:sz w:val="18"/>
          <w:szCs w:val="18"/>
          <w:color w:val="auto"/>
        </w:rPr>
        <w:t>The ability to identify and characterize clinical and anatomic pathologic changes is critical in determining the safety and efficacy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new therapeutics, industrial and agricultural chemicals, veterinary medicines, and medical devices. Key “go/no-go” decisions regarding continued product development are typically dependent on the identification, characterization and evaluation of fluid, tissue and cellular changes that our experts identify and interpret for our clients. We employ many highly trained veterinary anatomic and clinical pathologists and other scientists who use state-of-the-art techniques to identify potential test item-related changes. In addition to all standard anatomic and clinical pathology techniques, we provide specialized evaluations such as digital primary and peer review histopathology options, cytology, platelet function, assay development, immunohistochemistry, in situ hybridization, image analysis, tissue morphometry and spatial analysis services.</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Safety Pharmacology. </w:t>
      </w:r>
      <w:r>
        <w:rPr>
          <w:rFonts w:ascii="Times New Roman" w:cs="Times New Roman" w:eastAsia="Times New Roman" w:hAnsi="Times New Roman"/>
          <w:sz w:val="18"/>
          <w:szCs w:val="18"/>
          <w:color w:val="auto"/>
        </w:rPr>
        <w:t>Our clients are also required to conduct safety pharmacology studies. This suite of studies is used to determine any effects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vital organ systems of the body - cardiovascular, respiratory and central nervous system (CNS). Along with heart rate and blood pressure measurements, the cardiovascular assessment will also assess if the test article has the potential to alter cardiac ion channel currents and prolong the cardiac QT interval of the electrocardiogram. Additionally, effects on the CNS and respiratory systems are assessed to complete the battery of studies to evaluate the vital organ systems of the body. Supplemental studies can also be performed to assess the renal, gastrointestinal and autonomic nervous systems, as well as dependency potential. We have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(use of cells, tissues or organs outside of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system)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assays and perform the screening prior to the initiation of first-in-human clinical trials. Our capabilities can also be used to investigate the mode of action behind an adverse effect found in a safety assessment study.</w:t>
      </w:r>
    </w:p>
    <w:p>
      <w:pPr>
        <w:spacing w:after="0" w:line="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Bioanalysis, Drug Metabolism and Pharmacokinetics</w:t>
      </w:r>
      <w:r>
        <w:rPr>
          <w:rFonts w:ascii="Times New Roman" w:cs="Times New Roman" w:eastAsia="Times New Roman" w:hAnsi="Times New Roman"/>
          <w:sz w:val="18"/>
          <w:szCs w:val="18"/>
          <w:color w:val="auto"/>
        </w:rPr>
        <w:t>. In support of non-clinical drug safety testing and new chemical development, our clients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demonstrate appropriate stability in the collected biological sample, pharmacokinetics of their drug or compound in circulation, the presence of metabolites and, in the case of biologics, the presence or absence of anti-drug antibodies. We have scientific expertise in the sophisticated bioanalytical techniques required to satisfy these requirements for many drugs and chemicals. Once analysis is complete, our scientists evaluate the data to provide information on the pharmacokinetics and/or toxicokinetics of the drug or chemical and complete an evaluation of the biologic disposition of the drug or chemical and its potential metabolites. Pharmacokinetics refers to the understanding of what the body does to a drug or compound administered at therapeutic dose levels, including the process by which the drug is absorbed, distributed in the body, metabolized and excreted. Toxicokinetics refers to the same understanding as applied at higher doses that may result in adverse effects. These studies are routinely required for the full non-clinical assessment of the disposition of the drug or chemical and the results are used in the safety evaluation of the compound. After performing sample analysis in support of non-clinical studies, we also support the clinical bioanalysis required in clinical trials for drug development. In addition, our Laboratory Sciences group can measure a wide range of non-clinical and clinical biomarkers related to the safety and efficacy of the drugs and/or chemicals being developed.</w:t>
      </w:r>
    </w:p>
    <w:p>
      <w:pPr>
        <w:spacing w:after="0" w:line="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Safety Assessment facilities comply with animal welfare and GLP regulations to the extent required by the FDA, Environmental Protection Agency, United States Department of Agriculture (USDA), Centers for Disease Control and Prevention (CDC), Standards Council of Canada, National Competent Authorities, Standards Council of Canada, National Competent Authorities, European Medicines Agency, European Chemicals Agency and the Organization for Economic Co-operation and Development (OECD), Canadian Council on Animal Care (CCAC) as well as other international regulatory agencies. Furthermore, our non-GLP and early-stage discovery work performed at our Safety Assessment facilities, which are not subject to GLP regulations, is typically carried out under a quality management system. Our Safety Assessment facilities are regularly inspected by regulatory compliance monitoring authorities, our clients’ quality assurance departments, and our own internal quality audit program.</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January 2026, we acquired certain assets of K.F. (Cambodia) Ltd., a Cambodia-based provider of non-human primates for regulatory required biomedical, pharmaceutical, and toxicological research purposes. K.F. (Cambodia) Ltd. is now a part of the Company's DSA reporting segment for the purpose of being vertically integrated into DSA supply operations and the RMS reporting segment for those NHPs sold to third party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Manufacturing Solutions segment is comprised of two businesses: Microbial Solutions and Biologics Solutions.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Microbial Solutions</w:t>
      </w:r>
      <w:r>
        <w:rPr>
          <w:rFonts w:ascii="Times New Roman" w:cs="Times New Roman" w:eastAsia="Times New Roman" w:hAnsi="Times New Roman"/>
          <w:sz w:val="18"/>
          <w:szCs w:val="18"/>
          <w:color w:val="auto"/>
        </w:rPr>
        <w:t>. Our Microbial Solutions business operates as a rapid, efficient testing platform for microbial detection and identification of sterile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non-sterile applications. Microbial Solutions is a premier global provider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methods for conventional and rapid quality control testing, including globally-mandated lot release testing for injectable products. The products and services are provided by our Endosafe®, Celsis® and Accugenix® businesses, which produce, globally distribute and service a comprehensive portfolio of endotoxin testing, microbial detection and identification kits, reagents, instruments, software, accessories, and laboratory services to a broad range of companies manufacturing and releasing products from the pharmaceutical, biotechnology, medical devices and consumer products companies. Our Endosafe® business provides lot release testing of medical devices and injectable drugs for endotoxin contamination. Our Celsis® business provides rapid microbial detection systems for lot release testing as well as raw materials and in-process for quality control testing in the pharmaceutical, medical device and consumer products industries. Our Accugenix® business provides state-of-the-art microbial identification services and products for manufacturing in the biopharmaceutical, medical device, nutraceutical and consumer care industries. We expect our comprehensive portfolio of offerings and global network of laboratories to drive increased adoption of our quality control testing solutions across both sterile and non-sterile applications.</w:t>
      </w:r>
    </w:p>
    <w:p>
      <w:pPr>
        <w:spacing w:after="0" w:line="7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i w:val="1"/>
          <w:iCs w:val="1"/>
          <w:color w:val="auto"/>
        </w:rPr>
        <w:t>Endosafe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are a market leader in endotoxin testing products and services, which are used for globally, including FDA, required quality control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injectable drugs and medical devices, their components, and the processes by which they are manufactured. Endotoxin testing is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process that uses a processed extract from horseshoe crabs, known as limulus amebocyte lysate (LAL). The LAL test is the first and most successful FDA-validated alternative to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 to date. Generally, the extraction of the raw materials for LAL does not harm the crabs, which are subsequently returned to their natural ocean environment. We have worked closely with regulatory agencies in states where we collect to limit our impact on the horseshoe crab population and their surrounding environment.</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One of the primary growth drivers in our Microbial Solutions business is our FDA-approved line of next-generation endotoxin testing products. This line is based on the Endosafe Portable Testing System (Endosafe® -PTS™) technology, which allows rapid endotoxin testing in the central laboratory or manufacturing environment. In recent years, we expanded the PTS product portfolio to include a multiple sample testing system known as the Endosafe®-MCS™ (multi-cartridge system) and the first fully automated robotic system developed specifically for high-volume endotoxin testing, Endosafe®-Nexus, to satisfy the demand of our clients who require higher sample throughput. We have seen expanded use of this rapid endotoxin testing technology as clients transition from traditional methods to our rapid cartridge technology and are seeking to meet data integrity requirements with our automated systems and software solutions. In 2023, we launched Endosafe® Trillium®, our animal-free recombinant test for endotoxin detection. Endosafe® Trillium® utilizes three biological proteins, which we believe provides superior accuracy and testing outcomes to competitors’ single-protein recombinant alternatives, as well as equivalence to LAL-based testing method. Endosafe® Trillium® represents a next-generation solution to our industry-leading Endosafe® bacterial endotoxin detection portfolio. Additionally, in December 2025, we launched the Endosafe® bacterial endotoxin cartridge recycling program, which offers users of our Endosafe® bacterial endotoxin testing cartridge technology an avenue to responsibly recycle single-use plastic cartridges used specifically for routine water testing.</w:t>
      </w:r>
    </w:p>
    <w:p>
      <w:pPr>
        <w:spacing w:after="0" w:line="7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Celsis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Celsis® reagents and instrument systems are used for in-process and product-release testing to help ensure the safe and efficient manufacture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pharmaceutical and consumer products. Celsis® products utilize adenosine triphosphate bioluminescence technology for the rapid detection of microbial contamination delivering definitive results for some applications as fast as 24 hours. The product range includes reagent kits, instruments, software and services. The Celsis Advance II™, Celsis Accel™, and Celsis Adapt™ instruments and software automate the process for rapid microbial detection. We maintain a suite of products focused on sterility testing. Sterility testing is required prior to the release of sterile injectable products. The legacy method required a 14-day sample incubation period and was subjective. Using the Celsis® protocol and instrumentation, clients can detect contamination within 4 to 7 days and make objective product release decisions. We also offer Celsis Complete™ and Celsis Advantage™ services. The Celsis Complete™ services supply both the documentation and testing required as part of a client sterility technology method validation process. This assists clients to complete their validation process very quickly without utilizing their own personnel resources. The Celsis Advantage product supplies the required documentation needed for the clients to conduct their own internal validation. The Celsis Adapt™ is an accessory instrument for the Celsis® rapid detection systems, which is used to prepare and concentrate samples and provide a rapid testing solution for advanced therapy medicinal products, cell therapies, gene therapies, and other cell-containing products.</w:t>
      </w:r>
    </w:p>
    <w:p>
      <w:pPr>
        <w:spacing w:after="0" w:line="85"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8"/>
          <w:szCs w:val="18"/>
          <w:i w:val="1"/>
          <w:iCs w:val="1"/>
          <w:color w:val="auto"/>
        </w:rPr>
        <w:t>Accugenix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Accugenix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lab network is the premier provider of ISO17025-accredited contract microbial identification services. Accugenix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industry leader in species-level identification and strain typing of bacteria and fungi that are recovered from manufacturing facilities. Utilizing state-of-the-art and proprietary technologies, coupled with scientific expertise and analysis from a network of nine global labs, Accugenix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excels in providing accurate, timely, and cost-effective microbial identification services and products required to meet internal quality standards and government regulations. Accugenix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also offers an in- house solution with our Axcess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that allows clients to perform identification testing in their own lab with access to our proprietary library.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Manufacturing facilities are regularly inspected by regulatory compliance monitoring authorities, our clients’ quality assurance departments, and our own internal quality audit program.</w:t>
      </w:r>
    </w:p>
    <w:p>
      <w:pPr>
        <w:spacing w:after="0" w:line="50" w:lineRule="exact"/>
        <w:rPr>
          <w:sz w:val="20"/>
          <w:szCs w:val="20"/>
          <w:color w:val="auto"/>
        </w:rPr>
      </w:pPr>
    </w:p>
    <w:p>
      <w:pPr>
        <w:ind w:right="7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Biologics Solutions</w:t>
      </w:r>
      <w:r>
        <w:rPr>
          <w:rFonts w:ascii="Times New Roman" w:cs="Times New Roman" w:eastAsia="Times New Roman" w:hAnsi="Times New Roman"/>
          <w:sz w:val="18"/>
          <w:szCs w:val="18"/>
          <w:color w:val="auto"/>
        </w:rPr>
        <w:t>. Our Biologics Solutions (Biologics) business is comprised of our Biologics Testing Services business and CDMO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Biologics Testing Services</w:t>
      </w:r>
    </w:p>
    <w:p>
      <w:pPr>
        <w:ind w:right="260"/>
        <w:spacing w:after="0" w:line="282" w:lineRule="auto"/>
        <w:rPr>
          <w:sz w:val="20"/>
          <w:szCs w:val="20"/>
          <w:color w:val="auto"/>
        </w:rPr>
      </w:pPr>
      <w:r>
        <w:rPr>
          <w:rFonts w:ascii="Times New Roman" w:cs="Times New Roman" w:eastAsia="Times New Roman" w:hAnsi="Times New Roman"/>
          <w:sz w:val="18"/>
          <w:szCs w:val="18"/>
          <w:color w:val="auto"/>
        </w:rPr>
        <w:t>Our Biologics Testing Services business provides clients with analytical testing and related capabilities to support the safe manufacture of their biologic drugs, as well as a suite of manufacturing services to produce our clients’ advanced therapeutics.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current Good Manufacturing Practices (cGMP) testing services facilities also grow and store well-characterized early-stage client cell lines and virus seed stocks for later development or manufacture of therapeutic proteins and vaccines for clinical trials. We further design and provide viral clearance programs according to GLP at our German facility and cGMP at our U.S. facility for Phase I, II and III human clinical studies as well as for market authorization.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perform specialized testing of biologics frequently outsourced by pharmaceutical and biotechnology companies globally and are a partner in navigating the complex pathway to biologic effectiveness. Our laboratories in the U.S., Germany, Ireland and France provide timely and regulatory-compliant services in the areas of analytical, molecular biology, virology, cell-based bioassays, bioanalysis, immunochemistry, microbiology, cell biology,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 related services. We provide analytical characterization, lot release and safety testing support for chemistry, manufacturing and controls and investigational new drug (IND) filings and confirm that biomanufacturing of clinical drug candidates and commercial drugs are consistent, correctly defined, stable and essentially contaminant free. This testing is required by the FDA, EMA and other international regulatory authorities for our clients to obtain new drug approvals, to maintain government-licensed manufacturing facilities and to manufacture and release market-approved therapeutic products for patient treatment.</w:t>
      </w:r>
    </w:p>
    <w:p>
      <w:pPr>
        <w:spacing w:after="0" w:line="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We continue to look for opportunities to expand our Biologics Testing Solutions service offerings and facilities in the U.S. and Europe. We have also commissioned a biosafety level 3 (BSL3) facility to provide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services for BSL3 materials, such as SARS-CoV2.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CDMO Services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CDMO business operates in the three major areas of the high-growth advanced therapy CDMO market: cell therapy, viral vector, and plasmid DNA production. Our CDMO services include expertise in gene-modified and unmodified cell therapy manufacturing coupled with capabilities in viral vector manufacturing, as well as plasma DNA. Our CDMO services establish us as a premier scientific partner for cell and gene therapy development, testing, and manufacturing. The fully integrated advanced therapeutics portfolio enables us to provide clients with an integrated solution from analytical and process development through cGMP production; driving efficiency and accelerating clients’ speed-to-market by integrating preclinical CRO activities with manufacturing and testing. This provides our clients with a seamless experience across the value chain with the same advanced therapeutics scientific partner. Our cGMP CDMO facilities have the capability to manufacture and store raw materials, drug substance, and drug product, which are suitable for use in clinical trials as well as for commercial manufacturing.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objective is to be the scientific partner of choice to accelerate biomedical research and therapeutic innovation. Our strategy is to deliver a comprehensive and integrated portfolio of drug research and development products, services and solutions to support our clients’ basic research and early-stage drug development, analytical testing, manufacturing and product release efforts, and enable them to bring new and improved therapies to market faster and more cost effectively.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certain competitive advantages in executing this strategy because of our continuing focus on the following:</w:t>
      </w:r>
    </w:p>
    <w:p>
      <w:pPr>
        <w:spacing w:after="0" w:line="250"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Broad, Scientifically Differentiated Portfolio</w:t>
      </w:r>
      <w:r>
        <w:rPr>
          <w:rFonts w:ascii="Times New Roman" w:cs="Times New Roman" w:eastAsia="Times New Roman" w:hAnsi="Times New Roman"/>
          <w:sz w:val="18"/>
          <w:szCs w:val="18"/>
          <w:color w:val="auto"/>
        </w:rPr>
        <w:t>. Our large, integrated portfolio of products, services and solutions focuses on drug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early-stage development, and manufacturing quality-control and product release testing. We provide a broad range of scientifically differentiated solutions to facilitate our clients’ research and development and analytical testing efforts, ranging from research models and associated services, discovery research studies and services and comprehensive safety assessment studies in both regulated and non-regulated environments. As such, we can collaborate with clients from the earliest stages of drug research through development candidate selection and beyond. When critical decisions are made regarding which therapeutics will progress from discovery to development, we continue to work alongside our clients as the drug candidates move downstream. Our recognized expertise in early-stage drug development, including for mechanism of action, efficacy, drug metabolism, safety assessment and toxicological testing, provides us with a competitive advantage and enables our clients to make critical “go/no-go” decisions more quickly.</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ind w:left="246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also offer a portfolio of products, services and solutions that supports the process development, scale up, and quality control efforts of the biopharmaceutical industry. We provide products and services that support the development and release of clinical stage and commercialized biologics products. In particular, we are an industry leader in the areas of microbial detection and microbial identification to support clinical development and ongoing commercial production. Our portfolio spans a broad range of traditional and rapid methods, which provide the highest testing quality, enhanced productivity and reduced cycle time.</w:t>
      </w:r>
    </w:p>
    <w:p>
      <w:pPr>
        <w:spacing w:after="0" w:line="2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Deep Scientific Expertise</w:t>
      </w:r>
      <w:r>
        <w:rPr>
          <w:rFonts w:ascii="Times New Roman" w:cs="Times New Roman" w:eastAsia="Times New Roman" w:hAnsi="Times New Roman"/>
          <w:sz w:val="18"/>
          <w:szCs w:val="18"/>
          <w:color w:val="auto"/>
        </w:rPr>
        <w:t>. Our comprehensive portfolio of essential capabilities is supported by the breadth and depth of our scientific expertise,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for specialty toxicology, pathology, analytical testing for early and late-stage products, immunology, biomarker assessment, biologics process development testing, microbial detection and identification and other specialty service areas. These areas have high infrastructure costs or are cost-prohibitive for clients to build and/or maintain in-house, and therefore, clients choose to partner with outsourced providers like Charles River for these services. We continue to look for opportunities to expand our market leadership position, including by adding innovative scientific and analytical testing capabilities. We continue to enhance our small molecule, biologics, and advanced modalities portfolios in areas of greatest industry need, where outsourcing provides major benefits for our clients and where we could provide significant benefits given our unique early-stage development portfolio and global footprint. We are also uniquely positioned to help our biopharmaceutical clients navigate the evolving regulatory and scientific landscape by leveraging our extensive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testing capabilities and access to scientific data, and also evaluating new, innovative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and computational modelling solutions, or collectively new approach methodologies (NAMs), to supplement traditional testing methods.</w:t>
      </w:r>
    </w:p>
    <w:p>
      <w:pPr>
        <w:spacing w:after="0" w:line="8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Commitment to Animal Welfare</w:t>
      </w:r>
      <w:r>
        <w:rPr>
          <w:rFonts w:ascii="Times New Roman" w:cs="Times New Roman" w:eastAsia="Times New Roman" w:hAnsi="Times New Roman"/>
          <w:sz w:val="18"/>
          <w:szCs w:val="18"/>
          <w:color w:val="auto"/>
        </w:rPr>
        <w:t>. We are committed to being the worldwide leader in the humane care of research animals and implementation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“3Rs” initiative (Replacement, Reduction, and Refinement). As researchers, we are responsible to our clients, our employees, our animals and the public at large for the health and well-being of the animals in our care. We work closely with the scientific community to understand how living conditions, enrichment handling procedures and reduction of stress play an important role in the quality and efficiency of research. We are committed to working with the industry to support development and to provide the best translational models to supplement or replace traditional live animal models. These include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predictive tools, and virtual control groups.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Superior Quality and Client Support</w:t>
      </w:r>
      <w:r>
        <w:rPr>
          <w:rFonts w:ascii="Times New Roman" w:cs="Times New Roman" w:eastAsia="Times New Roman" w:hAnsi="Times New Roman"/>
          <w:sz w:val="18"/>
          <w:szCs w:val="18"/>
          <w:color w:val="auto"/>
        </w:rPr>
        <w:t>. We maintain scientific rigor and high-quality standards through management of key performance indicators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intense focus on biosecurity and quality. These standards help to reduce research risk and allow clients to access our global portfolio of products and services with the confidence that they will obtain consistent results no matter where they choose to obtain their products or conduct their research.</w:t>
      </w:r>
    </w:p>
    <w:p>
      <w:pPr>
        <w:spacing w:after="0" w:line="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Flexible and Customized Environment to Provide the Right Solutions</w:t>
      </w:r>
      <w:r>
        <w:rPr>
          <w:rFonts w:ascii="Times New Roman" w:cs="Times New Roman" w:eastAsia="Times New Roman" w:hAnsi="Times New Roman"/>
          <w:sz w:val="18"/>
          <w:szCs w:val="18"/>
          <w:color w:val="auto"/>
        </w:rPr>
        <w:t>. Each of our clients is different, with unique needs and specific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understand the importance of flexibility, and leverage the expertise embedded in our integrated, non-clinical portfolio to provide customized solutions tailored to the specific need or therapeutic area for a particular client. By utilizing our streamlined and efficient facilities, we help clients create a flexible and integrated infrastructure and partner with their teams to reduce the workload and staffing requirements. This allows our clients to optimize internal capacity and/or staff while ensuring the conduct of effective quality research for their projects. We provide enhanced value to clients who use us as a full-service integrated partner over a longer period of time.</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Large, Global Partner</w:t>
      </w:r>
      <w:r>
        <w:rPr>
          <w:rFonts w:ascii="Times New Roman" w:cs="Times New Roman" w:eastAsia="Times New Roman" w:hAnsi="Times New Roman"/>
          <w:sz w:val="18"/>
          <w:szCs w:val="18"/>
          <w:color w:val="auto"/>
        </w:rPr>
        <w:t>. We believe there is an important advantage in being a comprehensive, high-quality provider of research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services, non-clinical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services and manufacturing solutions on a global scale. Many of our clients, especially large biopharmaceutical companies, have decided to limit the number of suppliers with which they work. They frequently choose to partner with large companies similar to Charles River, that can offer clients support across the non-clinical drug development process as a result of broader portfolios and experience in project management. This includes extensive scientific, technical and therapeutic area expertise, timely access to data and scientific documentation through secure portals, provision of data in customized, sponsor-specific formats for data warehousing needs, accelerated reporting, reduced standard reporting timelines and industry-leading Standard Exchange of Non-Clinical Data (SEND) capabilities, a global footprint, streamlined and simplified processes and communications, including professional project, program, portfolio, and relationship management. We are focused on leveraging our competitive advantages to ensure we are recognized as the premier preferred partner to our clients, thereby enabling us to build broader and deeper long-term strategic relationships with them.</w:t>
      </w:r>
    </w:p>
    <w:p>
      <w:pPr>
        <w:spacing w:after="0" w:line="7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Enhancements. </w:t>
      </w:r>
      <w:r>
        <w:rPr>
          <w:rFonts w:ascii="Times New Roman" w:cs="Times New Roman" w:eastAsia="Times New Roman" w:hAnsi="Times New Roman"/>
          <w:sz w:val="18"/>
          <w:szCs w:val="18"/>
          <w:color w:val="auto"/>
        </w:rPr>
        <w:t>As the healthcare industry evolves, technology is playing an essential role. This technological revolution is not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helping streamline processes and operations, but the effects of this digitalization directly impact our biopharmaceutical clients. We are committed in our efforts to reduce the timeline to develop, safe and innovative</w:t>
      </w:r>
    </w:p>
    <w:p>
      <w:pPr>
        <w:spacing w:after="0" w:line="200" w:lineRule="exact"/>
        <w:rPr>
          <w:sz w:val="20"/>
          <w:szCs w:val="20"/>
          <w:color w:val="auto"/>
        </w:rPr>
      </w:pPr>
    </w:p>
    <w:p>
      <w:pPr>
        <w:spacing w:after="0" w:line="3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117"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new treatments for patients who desperately need them. To progress this forward, we strive to understand the true challenges that can slow drug research and development and re-imagine the way we work and collaborate to create digitally native solutions that improve efficiency, accelerate processes and enable automated, data driven outcomes. Our commitment to understanding the problem before finding a solution has enabled us to keep clients—and ultimately patients—at the center of the way we look at problems. By using client-centric design thinking, agile-based test and learn processes in short iterative cycles, and automating existing processes, we optimize client experiences and bring holistic solutions to pressing concerns.</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Outsourcing Drives Efficiency, Innovation, and Growth. </w:t>
      </w:r>
      <w:r>
        <w:rPr>
          <w:rFonts w:ascii="Times New Roman" w:cs="Times New Roman" w:eastAsia="Times New Roman" w:hAnsi="Times New Roman"/>
          <w:sz w:val="18"/>
          <w:szCs w:val="18"/>
          <w:color w:val="auto"/>
        </w:rPr>
        <w:t>Our clients’ R&amp;D needs continue to evolve. These clients are increasingly emphasizing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studies that have greater translation to the clinic so that they can make appropriate decisions regarding the progression of potential therapeutic entities earlier in the development process. As a result, these clients are choosing to outsource additional discovery and safety assessment services globally to increase the efficiency and effectiveness of their drug selection processes and also enhance access to innovative solutions.</w:t>
      </w:r>
    </w:p>
    <w:p>
      <w:pPr>
        <w:spacing w:after="0" w:line="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this environment will provide enhanced outsourcing opportunities for us in the future. We remain optimistic that our clients are increasingly receptive to partnering with us as a means of meeting their non-clinical support needs. We believe that the successful development of new therapies and outsourcing by the pharmaceutical industry will continue to be positive drivers of demand for our products and services.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larger biopharmaceutical companies will also continue to reassess their core differentiators from R&amp;D to commercialization, and which aspects of their drug discovery, preclinical development, clinical development, and manufacturing processes they will choose to outsource. By partnering with Charles River, we believe our clients can take advantage of efficiencies in both their early-stage research and translational activities that can result in months saved in getting a drug to market. In the aggregate, we believe that the evolving large biopharmaceutical R&amp;D business model along with our focus on data and digitalization will make our integrated offerings and expertise essential for clients focused on greater efficiency and cost effectiveness.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it is critical to participate in the strategic commercial partnering process because these relationships are likely to extend for multiple years and drive pull-through across our portfolio. Furthermore, both the client and Charles River invest heavily in the initial phases of the relationship to successfully transfer work streams and establish governance processes. Given this investment, clients are less likely to change partners at the conclusion of the initial relationship.</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evolving biopharmaceutical R&amp;D business model, coupled with solid long-term biopharmaceutical industry fundamentals and a historically sustained funding environment, have also led to the continued creation of new biotechnology companies focused on developing innovative new therapies. The biopharmaceutical industry continues to evolve and become more sophisticated, with research yielding new types of treatments with increasing complexity, and more targeted and individualized therapies. While the biopharmaceutical demand environment has been less robust in recent years, we believe that our portfolio provides flexible solutions and scientific expertise that meet the customized needs for virtual and small biotechnology companies, which have limited or no infrastructure. These clients also value our ability to provide a broad range of services where we work hand in hand with our clients to design, plan and manage integrated projects and programs. This includes classically outsourced services, “insourced” services and hybrid offerings blending resources from both our clients and our staff.</w:t>
      </w:r>
    </w:p>
    <w:p>
      <w:pPr>
        <w:spacing w:after="0" w:line="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Decisive Actions to Position for the Future. </w:t>
      </w:r>
      <w:r>
        <w:rPr>
          <w:rFonts w:ascii="Times New Roman" w:cs="Times New Roman" w:eastAsia="Times New Roman" w:hAnsi="Times New Roman"/>
          <w:sz w:val="18"/>
          <w:szCs w:val="18"/>
          <w:color w:val="auto"/>
        </w:rPr>
        <w:t>We continue to take decisive action to manage the Company through the current demand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appropriately right-sizing our infrastructure, optimizing operations, and driving efficiency with a goal to protect operating margin. We are committed to initiatives to generate more revenue, contain costs, and protect shareholder value through enhanced commercial initiatives, restructuring and efficiency actions to drive cost savings, as well as a balanced approach to capital deployment. These initiatives have included:</w:t>
      </w:r>
    </w:p>
    <w:p>
      <w:pPr>
        <w:spacing w:after="0" w:line="74" w:lineRule="exact"/>
        <w:rPr>
          <w:sz w:val="20"/>
          <w:szCs w:val="20"/>
          <w:color w:val="auto"/>
        </w:rPr>
      </w:pPr>
    </w:p>
    <w:p>
      <w:pPr>
        <w:ind w:left="660" w:right="1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initiatives to manage costs and generate efficiency by reducing staffing levels to align with the level of demand, as well as evaluating our global footprint to optimize, consolidate, and simplify operations. We have also engaged in global footprint optimization efforts to maximize capacity and enhance our capabilities. We have taken a client-centric approach to these actions with a goal of serving our clients more efficiently and seamlessly in order to capture synergies and savings that extend beyond the facility costs.</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efforts to globally optimize our operational footprint, including looking at new markets to serve as well as new locations which give us financial, operational and scientific advantages.</w:t>
      </w:r>
    </w:p>
    <w:p>
      <w:pPr>
        <w:spacing w:after="0" w:line="5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commercial enhancements to promote a client-centric focus and gain additional market share. Our goal is to enhance the client experience and reinforce our role as a flexible and responsive partner to our clients, including through leveraging technology such as our Apollo™ cloud-based platform to provide real-time access to scientific data and self-service tools for clients.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evaluate additional strategies to enhance the business. We are working on initiatives to further transform how we operate, including harmonization and centralization of processes, tools and tasks, continuing to better leverage technology, adoption of a global businesses service model to streamline our operations, as well as other projects such as generating greater procurement savings.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Charles River maintains a leading position in providing existing and enabling the availability of novel new NAMs that will be of greatest benefit to our biopharmaceutical client base.</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efforts to look for additional opportunities outside of the biomedical research and biopharmaceutical therapeutics development support market segments where we can leverage our channels and capabilities in sizable and/or rapidly growing adjacent markets.</w:t>
      </w:r>
    </w:p>
    <w:p>
      <w:pPr>
        <w:spacing w:after="0" w:line="5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 November 2025, we announced as part of our Board of Directors’ comprehensive strategic review of our business and growth prospects, that we will focus on strategic initiatives to strengthen our leading scientific portfolio within our core markets through strategic acquisitions, partnerships, and internal investments; divest certain non-core assets, which represent approximately 7% of the Company’s 2025 revenue; maximize our financial performance, including by implementing additional initiatives aimed at driving greater operating efficiency; and maintain a disciplined approach to capital deployment through regularly evaluating the optimal balance between strategic acquisitions, stock repurchases, debt repayment, and other uses of capital.</w:t>
      </w:r>
    </w:p>
    <w:p>
      <w:pPr>
        <w:spacing w:after="0" w:line="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strategic imperatives and operational goals are centered around our intense focus on initiatives designed to allow us to drive profitable growth, enhance our operating efficiency and better position ourselves to function successfully in the current and future business environment, which we believe will collectively enable us to maximize value for our shareholders.</w:t>
      </w:r>
    </w:p>
    <w:p>
      <w:pPr>
        <w:spacing w:after="0" w:line="6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Acquisitions are an Integral Part of Growth Strategy. </w:t>
      </w:r>
      <w:r>
        <w:rPr>
          <w:rFonts w:ascii="Times New Roman" w:cs="Times New Roman" w:eastAsia="Times New Roman" w:hAnsi="Times New Roman"/>
          <w:sz w:val="18"/>
          <w:szCs w:val="18"/>
          <w:color w:val="auto"/>
        </w:rPr>
        <w:t>Over the past decade, we have expanded our capabilities by adding high-science services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 to deliver fast and high quality end-to-end integrated, non-clinical solutions to accelerate drug development. We intend to continue to broaden the scope of the products and services that we provide across the research and development continuum primarily through internal development, and also, through focused acquisitions within our core markets and our strategic partnerships strategy, all of which are intended to enable us with the flexibility to adapt and innovate to meet our client’s changing needs. Acquisitions, such as our acquisitions of Explora BioLabs in fiscal 2022, Noveprim in 2023, and certain assets of K.F. (Cambodia) Ltd. in 2026 have been (and we expect will be in the future) an integral part of our growth strategy, to expand our portfolio, strengthen our supply chain, and broaden our geographic footprint. We are committed to a disciplined approach that seeks to target businesses that are a sound strategic fit. We aim to consistently deliver shareholder value, including the achievement of a hurdle rate for return on invested capital above our weighted average cost of capital.</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Mergers and acquisitions remain one of our top, long-term priorities for disciplined capital deployment and enhancing growth strategy with focus on enhancing the breadth of our scientific capabilities principally within our core competencies, expanding our global scale, and maintaining our leadership position. Our long-term strategy also includes growth through establishing relationships and exploring other opportunities and areas that have the potential to enhance our global reach and strengthen our broad-based portfolio of products and services.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partner with a diverse set of leading venture capital firms around the world primarily investing in life sciences, health care and therapeutics with an emphasis on early-stage companies. Through these partnerships and close relationships, we gain insight into their company and asset portfolios and are thus able to promote our services for each of our businesses. We also view these partnerships as an investment in new and emerging sciences and technologies as they allow us to gain insights to cutting-edge capabilities. Thus, we have the opportunity to establish ourselves as a provider of choice for a unique client group that has emerged as biopharmaceutical companies rationalize and prioritize their development pipelines.</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routinely evaluate strategic fit and fundamental performance of our businesses. As part of this ongoing assessment, we may determine certain capital could be better deployed in other long-term growth opportunities. Most recently, we divested our Avian Vaccine Services business in 2022, a DSA site in 2024, and a DSA site in 2025, as we determined these businesses/sites were no longer a strategic fit. Additionally, as part of our ongoing efforts to streamline operations and maximize financial performance, the Company has evaluated the strategic fit and fundamental performance of its global portfolio and infrastructure and, as appropriate, will take actions to ensure its business is strategically and financially aligned in the interest of long-term value creation. These actions are expected to result in the sale of certain non-core businesses, which will enable the Company to focus on more profitable growth opportunities. In aggregate, these businesses represent approximately 7% of the Company’s 2025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Our clients consist primarily of major biopharmaceutical companies; many small, emerging, and established biotechnology, agricultural and industrial chemical, life science, veterinary medicine, medical device, diagnostic and consumer product companies; contract research and contract manufacturing organizations; and other commercial entities, as well as leading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hospitals, academic institutions, government agencies, and non-governmental organizations. We have stable, long-term relationships with many of our clients. During 2025, no single client accounted for more than 4% of our total revenue and no single client accounted for more than 8% of the revenue of any of our three business segments.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pursue a goal of expanding our relationships with our large biopharmaceutical clients, and with many of our larger mid-tier clients. These relationships take different forms, from preferred provider arrangements to strategic partnerships. The structure of these relationships incentivizes clients to purchase more products and services across our non-clinical portfolio. Because of the strength of these relationships, we have better insight into our clients’ planning processes and, therefore, better visibility than in the past. For information regarding revenue attributable to each of our business segments for the last three fiscal years, please see Note 4. Segment and Geographic Information, included in the Notes to Consolidated Financial Statements included elsewhere in this Form 10-K. For information regarding revenue and long-lived assets attributable to operations in the United States, Europe, Canada, Asia Pacific and other countries for each of the last three fiscal years, please review Note 4. Segment and Geographic Information, included in the Notes to Consolidated Financial Statements included elsewhere in this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Support</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marketing efforts are focused on stimulating demand for further outsourcing across our entire services portfolio. We believe that our ability to provide solutions that address aspects of drug research through development and manufacturing are increasingly attractive to our clients, and we continue to design and market our commercial activities to deliver flexible, customized programs designed by segment to meet our clients’ global and site-specific needs.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go-to-market approach employs several sales and marketing strategies, including dedicated sales teams for each of our major lines of business and global and key account managers who represent the entire portfolio. We also maintain several sales specialists that either have specific technical expertise (often degreed scientists) or cover unique markets.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our field sales teams and related specialists, we also have a team of alliance managers who are organized by key client within our market segments (global biopharmaceutical, small and mid-sized pharmaceutical and biotechnology companies, and academic and government institutions). This enhances our ability to meet client needs by offering customized, tailored solutions across our entire portfolio. In addition, our clients benefit by additional support from a combination of technical specialists with specific scientific applications and therapeutic area expertise. We also apply the use of dedicated sales specialists for certain technical product lines, such as in our Manufacturing businesses.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sell our products and services principally through our direct sales and business development teams who work in North America, Europe and Asia. In addition to interactions with our direct sales force, our primary promotional activities include: demand generation through all available marketing channels, online and offline; presenting scientific symposia to targeted audiences; publishing scientific papers, technical support pieces and white papers, and newsletters; hosting webinars and virtual seminars; and making presentations at, and participating in, scientific conferences and trade shows in North America, Europe and Asia. We are focused on enhancing our innovation and reach by increasing our digital marketing capabilities and tools, advertising and website content. In certain areas, our direct sales force is supplemented by international distributors and agents.</w:t>
      </w:r>
    </w:p>
    <w:p>
      <w:pPr>
        <w:spacing w:after="0" w:line="7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Our internal strategic marketing and marketing operations teams support the field sales and business development teams while developing and implementing programs to build awareness about products and services, create opportunities for interaction with our clients in the biomedical research industry, and drive lead generation and revenue growth. We maintain client engagement, lead development support, digital experience, eCommerce, and event management departments, which address both our clients’ routine and more specialized needs and purposely serve as a support and information resource for them. We frequently assist our clients in solving problems related to resourcing products and services, research support, non-clinical study design, regulatory consulting, protocol development and other areas in which our expertise is widely recognized as a valuable resource by our clients.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goal is to be a leader in each of the markets in which we participate. We compete in the marketplace based on our therapeutic and scientific expertise in early-stage drug research, quality, reputation, flexibility, responsiveness, pricing, innovation and global capabilities. We offer a unique portfolio of early-stage products and services to support drug discovery and development.</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encounter a broad range of competitors of different sizes and capabilities in each of our three business segments. We also face competition from the internal discovery and development resources of our clients.</w:t>
      </w:r>
    </w:p>
    <w:p>
      <w:pPr>
        <w:spacing w:after="0" w:line="54" w:lineRule="exact"/>
        <w:rPr>
          <w:sz w:val="20"/>
          <w:szCs w:val="20"/>
          <w:color w:val="auto"/>
        </w:rPr>
      </w:pPr>
    </w:p>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RMS, we have four main competitors of which one is a government funded, not-for-profit entity; one is a division of a public company in the U.S.; one is privately held in the U.S, and one is a public company in China.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DSA, both our discovery services and safety assessment services have numerous competitors. Our discovery services offerings have hundreds of competitors, but two main competitors: one is a public company in China and one is a public company in Europe. Our safety assessment offerings have dozens of competitors of varying size, but two main competitors, one that is a division of a large public company in the U.S. and another that is a private company based in Canada. Our DSA segment also competes with in-house departments of pharmaceutical and biotechnology companies, universities and teaching hospitals.</w:t>
      </w:r>
    </w:p>
    <w:p>
      <w:pPr>
        <w:spacing w:after="0" w:line="75" w:lineRule="exact"/>
        <w:rPr>
          <w:rFonts w:ascii="Times New Roman" w:cs="Times New Roman" w:eastAsia="Times New Roman" w:hAnsi="Times New Roman"/>
          <w:sz w:val="18"/>
          <w:szCs w:val="18"/>
          <w:color w:val="auto"/>
        </w:rPr>
      </w:pPr>
    </w:p>
    <w:p>
      <w:pPr>
        <w:ind w:left="660" w:right="120" w:hanging="328"/>
        <w:spacing w:after="0" w:line="289"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Manufacturing, each of our underlying businesses has several competitors. Microbial Solutions has four main competitors, of which three are public companies in Europe and one is part of a public company in Japan. In addition to many smaller competitors, Biologics Solutions has five main competitors, of which three are public companies in Europe, one is a public company in the U.S., and one is a public company in China.</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Support and Animal Welfare</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One of our core values is a commitment to animal welfare. Research animals are an important resource that further our knowledge of living systems and contribute to the discovery and development of life-saving drugs. We work with our scientific community peers to understand how living conditions, handling procedures, and experimental procedures contribute to animal stress and play a role in the quality of research outcomes. As researchers, we are responsible to our clients and the public for the health and well-being of the animals in our care, and prioritize the humane treatment of these critically important research models.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been at the forefront of animal welfare improvements in our industry and continue to show our commitment with special recognition programs for employees who demonstrate an extraordinary commitment in this critical aspect of our business. We created our own Humane Care Imperative (HCI), which is overseen by our Global Animal Welfare corporate group. The goal of HCI is to ensure that we continue as a worldwide leader in the humane care of research animals and implementation of the 3Rs (Replacement, Reduction, and Refinement). As part of the HCI, we also have quarterly recognition and celebration of employees that go above and beyond to promote a culture of care, including animal welfare, caring for our employees, scientific integrity, and openness and transparency. In 2024, we published on our website our extensive and comprehensive biennial Corporate Citizenship Report, which includes information on our Global Animal Welfare and Responsible Animal Use and New Alternative Methodologies (NAMs) work. We plan to publish an updated 2026 Corporate Citizenship Report on our website in the first half of 2026.</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are firmly committed to the 3Rs and to reducing the number of animals that we work with by emphasizing health, research animal behavioral management programs and genetic integrity to decrease study data variability. Whenever possible, we use low stress handling of our animals, technological advances such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tests for health surveillance in laboratory rodents, microsampling and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We support a wide variety of organizations and individuals working to further animal welfare and the 3Rs, as well as the interests of the biomedical research community. We also partner with clients to develop study designs to right-size the number of animals needed and suggest pilot studies where appropriate. We maintain a quarterly award program that recognizes our employees’ efforts to continually implement the 3Rs at our sites globally.</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provide scholarships for training in laboratory animal science, financial support to non-profit organizations that promote and educate the public about animal welfare, the 3Rs, and the benefits of animal research, and awards to outstanding leaders in the laboratory animal science field and the supporters of 3Rs.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2023, our Board of Directors established a Responsible Animal Use Committee to assist the Company in improving our impact on responsible animal utilization, including evaluating and advising scientific and technological opportunities which may appropriately reduce the impact of animals in the Company’s operations. In 2024, we established an executive-level NHP Supplier Governance Council, which is responsible for approving NHP suppliers and reviewing any issues or requested exceptions to our NHP Supplier Risk Management Process. In March 2025, we published our second annual report to shareholders on the measures the Company takes to reinforce confidence that the NHPs we import are sourced in accordance with applicable laws. In May 2025, the Responsible Animal Use Committee was combined with the Science and Technology Committee of the Board to form the New Approach Methodologies and Science Committee. This new committee is responsible for such duties as reviewing, evaluating, and advising the Board on the Company’s impact on animal utilization and the utilization of new approach methodologies (NAMs) to, among other things, reduce the impact of animals in research. In October 2025, we announced the creation of a cross-functional Scientific Advisory Board to guide our strategic focus on NAMs. Additionally, in January 2026, we appointed Dr. Namandjé N. Bumpus to be our Senior Vice President, Chief Scientific and Innovation Officer. In this role, Dr. Bumpus leads the Company’s scientific strategy, oversees research and development initiatives, and advances innovation to support clients in accelerating the drug development process.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27, 2025, we had approximately 19,700 employees (including approximately 2,400 science professionals with advanced degrees, including Ph.D.s, D.V.M.s and M.D.s). Approximately 18,300 of our employees are considered full-time employees, while approximately 1,400 are considered part-time employees. Our workforce was distributed geographically approximately as follows: 59% in North America, 32% in Europe, 7% in Asia, and 3% in other regions.</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Part of the decisive action we have and continue to implement to manage the Company through the current demand environment includes selective hiring and restructuring initiatives to manage costs and generate efficiency by consolidating sites and reducing staffing levels to align with the pace of demand. We have reduced our total headcount by approximately 2% since the end of 2024.</w:t>
      </w:r>
    </w:p>
    <w:p>
      <w:pPr>
        <w:spacing w:after="0" w:line="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employees are not unionized in the U.S. Employees at some of our European facilities are represented by works councils, employee representative groups and/or unions, which is consistent with local customs for our industry. We collaborate with the works councils and believe we have good relationships with our employees.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Charles River, our values of Care, Lead, Own, and Collaborate guide our decisions and actions; they are standards we hold ourselves to each and every day and are critical to success in fulfilling our goals. In addition, our Charles River DNA are the behaviors based on these values that we use to make decisions, grow our future leaders, and pave the way for years ahead.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 Belonging, and Engagement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Sustaining our company culture is a vital part of our strategy. Our culture is built on trust, belonging, accountability, respect, well-being, and safety. Our objective is to enable an environment where every colleague can connect with their work in a way that supports each other, our clients, and our communities. We strive to maintain an environment wherein every person has the ability to deliver on business commitments, while having purpose, being energized, continuously learning, and delivering quality outcomes that make a difference. As a global organization, our growth and development depend on hiring, engaging, and retaining a skilled and global workforce in a highly competitive marketplace. In fiscal 2025, we hired over 2,600 people and our voluntary turnover for all employees was approximately 10.1%.</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pride ourselves on supporting our people both professionally and personally throughout their employee experience with us. In order to attract the best candidate for each position, we prioritize wide-scale recruitment efforts to attract a larger pool of applicants from a variety of backgrounds. Our hiring process is designed to ensure fair and objective decisions lead to the most qualified candidate being hired. We strive to make our hiring practices accessible, including offering reasonable accommodations as appropriate.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Beginning with our onboarding program, our talent management approach is structured to be highly collaborative, encourage ownership, and provide the opportunity to contribute and develop through regular performance conversations, annual goal setting, and ongoing feedback. Furthermore, we have created a global learning strategy that includes technical training, mentoring and coaching approaches, tuition reimbursement, sabbaticals, leadership development programs, and on-the-job training to ensure access to skill building and career advancement for all. We conduct regular talent reviews to identify and develop global leadership and key talent pipelines to deliver on short-term and long-term business strategy.</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also committed to cultivating a welcoming environment where every employee can succeed and thrive. We believe in treating our employees and prospective talent with fairness, dignity, decency, and respect. We recognize that our differences contribute to a more innovative workforce and are a strength for our business. It is critical that our people feel valued, supported, and that we provide opportunities for all.</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engagement surveys are in the form of frequent, shorter “Pulse” surveys. These Pulse surveys were issued twice during 2025 and serve as a foundation for more meaningful conversations and actions between our people and people leaders to continue making Charles River a best place to work, learn, and grow.</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growth and learning opportunities, we strive to attract, motivate, and retain top talent by providing competitive compensation programs while rewarding outcomes and behaviors that align with our performance, culture, and values. We perform pay equity audits in countries where they are legally required. Our global job architecture generally allows for aligning pay by job role with market rates and serves as a career path tool to support advancement. Additionally, we assess pay on a global scale to ensure we continue to be competitive in the marketplace.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committed to creating a healthy and safe workplace for our employees and visitors to our facilities. This commitment is outlined in our Global Policy on Safety &amp; Sustainability where we define the company’s approach to embedding safety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sustainably into our company’s purpose. Our EHS&amp;S Global Operating Framework (GOF) is the foundation of our management system approach to incorporating health and safety into our business practices. These programs are supported by site health and safety leaders who engage employees and management to reinforce the importance of ownership of the programs and integration of these practices into our work each day. In 2022 we launched a Safety-First Culture initiative to reinforce that every person working for and on behalf of Charles River recognizes the importance of working safely as their first directive. The underpinning of this initiative was delivering safety culture training to all levels of leadership across the organization. In 2024, we conducted safety culture training and workshops to the executive leadership team, site general managers and all people leaders. In 2023 we initiated a formal Environment, Health, Safety and Sustainability Assessment program conducting 17 site assessments in the inaugural year of the program. In 2025 we have continued our safety-first culture journey by requiring all operational people leaders to include a health and safety goal as part of their annual performance, conducted 26 additional site program assessments and provided quarterly updates to business leadership on injury data analysis, trends to track performance against goals, and opportunities to invest in impactful safety improvements.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backlog for our RMS, DSA and Manufacturing reportable segments was approximately $640 million, $1.9 billion and $123 million, respectively, as of December 27, 2025, as compared to $685 million, $2.0 billion and $103 million, respectively, as of December 28, 2024. Related services are performed over varying durations, from short to extended periods of time, which may be as long as several years. We maintain an order backlog to track anticipated revenue from studies and projects that either have not started, but are anticipated to begin in the near future, or are in process and have not been completed. We only recognize a study or project in backlog after we have received written evidence of a client’s intention to proceed. Canceled studies or projects are removed from backlog.</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our aggregate backlog as of any date is not necessarily a meaningful indicator of our future results for a variety of reasons. First, studies vary in duration (i.e., some studies or projects that are included in December 27, 2025 backlog may be completed in 2026, while others may be completed in later years). Second, the scope of studies or projects may change, which may either increase or decrease their value. Third, studies or projects included in backlog may be subject to bonus or penalty payments. Fourth, studies or projects may be terminated or delayed at any time by the client or regulatory authorities for a number of reasons, including the failure of a drug to satisfy safety and efficacy requirements, or a sponsor making a strategic decision that a study or service is no longer necessary. Delayed contracts remain in our backlog until a determination of whether to continue, modify or cancel the study has been made. We may not be able to realize all or most of the net revenues included in backlog or estimate the portion to be filled in the current year. Refer to Item 1A, “Risk Factors” and Item 7, “Management’s Discussion and Analysis of Financial Condition and Results of Operations” disclosed herein for our assessment of certain relevant risk factors.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our business operates in many distinct regional environments and in a variety of locations worldwide, we are subject to numerous, and sometimes overlapping, regulatory requirements.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Animal Welfare Act (AWA) governs the care and use of animals used for research in the U.S. other than laboratory rats, mice and fish bred for use in research. As a result, most of our U.S. small animal research model operations are not subject to regulatory oversight. For regulated species, the AWA requires producers and those working with regulated species to provide veterinary care and to follow specific husbandry practices such as cage size, shipping conditions, sanitation and environmental enrichment to ensure the welfare of these animals. Separately, facilities using live vertebrate animals in research funded by the U.S. Public Health Service (PHS) must also adhere to the PHS Policy on Humane Care and Use of Laboratory Animals and follow “The Guide for the Care and Use of Laboratory Animals” approved by the Board of the National Research Council.</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comply with licensing and registration requirement standards set by the USDA and U.S. Fish and Wildlife Service (USFWS), and similar applicable agencies in other global regions such as Canada, Europe and China for the care, handling and oversight of regulated species. Our DSA and RMS facilities that work with or produce research animals in North America and Europe are accredited, with the exception of new and recently acquired facilities that are in the process of planning for accreditation, by AAALAC International, a private, nonprofit, independent accrediting organization that promotes the humane care and treatment of animals in science and education through voluntary accreditation and assessment programs.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import and export of animals and our operations in foreign countries are subject to applicable international agreements and conventions, as well as a variety of national, regional and local laws and regulations, which establish the standards for the humane treatment, care, handling and transport of animals by dealers and research facilities. We only use licensed and experienced transporters for importing and exporting animals who are specialists in their field. We comply with global requirements which are evaluated by import and export authorities at each point of exit and entry. Imported animals are quarantined in our quarantine facilities as required by government agencies and tested to ensure they meet both the government mandates and our own specifications for pathogens and health of the animals.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 non-clinical safety assessment studies to support the submissions for approval or licensing of our clients’ products throughout the world. Many of these studies must comply with national statutory or regulatory requirements for GLP. GLP regulations describe a quality system for the scientific, operational and quality process and the conditions under which non-clinical studies are planned, performed, monitored, recorded, reported and archived. GLP compliance is required by such regulatory agencies as the FDA, European Medicines Agency, Medicines and Healthcare Products Regulatory Agency in the United Kingdom (U.K.), Health Products Regulatory Authority in Ireland, Health Canada and other similar monitoring authorities in the countries where we operate. GLP requirements are significantly harmonized throughout the world and our laboratories are capable of conducting studies in compliance with all applicable requirements.</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Regulatory monitoring authorities such as the FDA, Medicines and Healthcare Products Regulatory Agency and OECD countries have indicated a continued emphasis on the management of electronic records and signatures generated by computerized systems to ensure data integrity. We have established corporate data integrity governance to manage regulatory requirements and client expectations regarding data quality within our regulated businesses. Although each business has a different impact on patient safety, all are expected to generate and preserve data with integrity. We recognize the importance of generating quality, reliable, sustainable data and have instituted several processes and established a global governance team with oversight responsibilities for our Data Integrity Compliance Plans to ensure we are consistent in our approach. To ensure that we have proper regulatory oversight over our electronic records, a dedicated quality function reviews our computerized system practices, including those related to cloud or AI based systems, to ensure that appropriate record controls are in place and that a robust audit strategy confirms requirements are met for compliance.</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a global level, retention of data and controls for electronic systems, proprietary data and quality standards are covered by global policies. We also have controls in place such as quality manuals, policies and procedures, work instructions, document control processes, training, quality assurance and quality control processes and personnel, validated computerized systems and archiving requirements. Within businesses, procedures govern performance of activities to ensure data integrity throughout its life cycle.</w:t>
      </w:r>
    </w:p>
    <w:p>
      <w:pPr>
        <w:spacing w:after="0" w:line="7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Our Manufacturing businesses produce FDA regulated endotoxin test kits at an FDA registered facility. We also manufacture sterility and microbial limits test kits used in FDA Regulated pharmaceutical applications, reagents, cell banks used in research and biopharmaceutical production, clinical trial vaccines and vaccine support products as well as an animal-free recombinant cascade reagent (rCR), Endosafe® Trillium®, which is an alternative to the natural LAL product. Additionally, several of our laboratories conduct biosafety and analytical testing such as identity, stability, sterility and potency and viral clearance testing in support of our clients’ manufacturing programs and to fulfill their validation requirements and lot release requirements, as applicable.</w:t>
      </w:r>
    </w:p>
    <w:p>
      <w:pPr>
        <w:spacing w:after="0" w:line="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comprehensive cell and gene therapy manufacturing services include Good Manufacturing Practices (GMP) production of cells from pre-clinical to commercial applications from a variety of starting materials. Many of these activities are subject to regulation and consequently require these businesses to be inspected by the FDA and other national and applicable state regulatory agencies under their respective cGMP regulations. These regulations require that we manufacture products or perform testing in a prescribed manner with respect to cGMP compliance, and maintain records of our manufacturing, testing and control activities. In addition, the specific activities of some of our businesses require us to hold specialized licenses and registrations for the manufacture, distribution and/or marketing of products globally.</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Cell Solutions site provides the starting material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leukopak) to customers that are typically in cell and gene therapy companies. Leukopaks are collected from eligible donors in compliance with applicable regulatory requirements. Donors consent using informed consent forms approved by an external Institutional Review Board (IRB). Collections are performed under the supervision of licensed clinical staff and are managed in accordance with IRB-approved study protocols.</w:t>
      </w:r>
    </w:p>
    <w:p>
      <w:pPr>
        <w:spacing w:after="0" w:line="7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of our sites are subject to registration, licensing and regulation, as appropriate under international treaties and conventions, including national, regional and local laws relating to:</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surface and air transportation of chemicals, biological reagents and laboratory specimens;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handling, use, storage and disposal of chemicals (including narcotics and psychotropic drugs), biological reagents, laboratory specimens, hazardous waste and radioactive materials;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handling, use, storage and disposal of human cells, tissues and cellular and tissue-based products for research and manufacturing purposes;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health of employees and visitors to our facilities;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the environment and general public.</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global regulatory compliance programs are managed by global quality systems, such as vendor supplier programs, enterprise quality management systems and global computer system validation. Within each regulated business, we have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established Quality Assurance Units (QAUs) responsible for risk based internal audit programs to manage regulatory requirements and client expectations. The QAUs operate independently from those individuals that direct and conduct studies, manufacturing or analytical testing. Our Data Integrity Compliance Program ensures that senior management and the QAU’s have proper oversight of our electronic records, inclusive of quality function reviews of our computerized system practices to ensure that appropriate record controls are in place and that a robust audit strategy confirms requirements for compliance.</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we expect that capital expenditures will be necessary to ensure that our existing sites remains in compliance with all applicable regulations, at this point we do not expect these expenditures to materially differ than our historical experience.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develop and implement scientifically-driven products and procedures, including computer software, to maximize the quality and effectiveness of our offerings. Intellectual property rights, in the form of know-how, trade secrets, patents, trademarks, copyrights, and others are important to us and are valuable to our ability to provide significant benefits to our clients. Steps are taken to protect our intellectual property rights and include the execution of confidentiality agreements and securing registrations in relevant jurisdictions. In addition, we license technology from other companies when it enhances our product and services businesses. Licensing has become a larger company-wide initiative, particularly as we increase our focus on innovative technologies that further diversify and enhance our portfolio.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committed to operating our business with integrity and accountability. We strive to meet or exceed all of the corporate governance standards established by the NYSE, the SEC and the U.S. Federal government as implemented by the Sarbanes-Oxley Act of 2002, the Dodd-Frank Wall Street Reform and Consumer Protection Act of 2010 and other applicable laws, rules and regulations. Nine of the eleven members of our Board of Directors are independent and have no significant financial, business or personal ties to us or management. Our Audit Committee, Compensation Committee, and Corporate Governance and Nominating Committee of our Board of Directors are each composed entirely of independent directors. The Board adheres to our Corporate Governance Guidelines and a Code of Business Conduct and Ethics that has been communicated to employees and posted on our website. We are diligent in complying with established accounting principles and are committed to providing financial information that is transparent, timely and accurate. We have a Related Person Transactions Policy designed to promote the timely identification of such transactions and to ensure we give appropriate consideration to any real or perceived conflicts in our commercial arrangements. We have an established global process through which employees, either directly or anonymously, can notify management (and the Audit Committee of the Board of Directors) of alleged accounting and auditing concerns or violations including fraud. Our internal Disclosure Committee meets regularly and operates pursuant to formal disclosure procedures and guidelines to help ensure that our public disclosures, including our periodic reports filed with the SEC, earnings releases and other written information that we disclose to the investment community are complete, accurate and timely. We continually monitor developments in the law and stock exchange regulations, as well as overall corporate governance trends and intend to adopt new procedures consistent with such developments to the extent applicable to and appropriate for our Company. Copies of our Corporate Governance Guidelines, Code of Business Conduct and Ethics and Related Person Transactions Policy are available on our website at http://ir.criver.com under the “Investor Relations - Corporate Governance” caption.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Below are the names, ages and principal occupations of each of our current executive officers. All such persons have been elected to serve until their successors are elected and qualified or until their earlier resignation or removal.</w:t>
      </w:r>
    </w:p>
    <w:p>
      <w:pPr>
        <w:spacing w:after="0" w:line="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James C. Foster</w:t>
      </w:r>
      <w:r>
        <w:rPr>
          <w:rFonts w:ascii="Times New Roman" w:cs="Times New Roman" w:eastAsia="Times New Roman" w:hAnsi="Times New Roman"/>
          <w:sz w:val="18"/>
          <w:szCs w:val="18"/>
          <w:color w:val="auto"/>
        </w:rPr>
        <w:t>, age 75, joined us in 1976 as General Counsel. During his tenure, Mr. Foster has held various staff and managerial positions, and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Chief Executive Officer and President in 1992 and our Chair in 2000. In January 2026, the Board announced a leadership transition plan. Mr. Foster intends to retire and step down as Chief Executive Officer and Chair of the Board, effective as of May 5, 2026.</w:t>
      </w:r>
    </w:p>
    <w:p>
      <w:pPr>
        <w:spacing w:after="0" w:line="6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Victoria Creamer</w:t>
      </w:r>
      <w:r>
        <w:rPr>
          <w:rFonts w:ascii="Times New Roman" w:cs="Times New Roman" w:eastAsia="Times New Roman" w:hAnsi="Times New Roman"/>
          <w:sz w:val="18"/>
          <w:szCs w:val="18"/>
          <w:color w:val="auto"/>
        </w:rPr>
        <w:t>, age 56, joined us in January 2019 as Senior Vice President, Chief People Officer. In October 2020, Ms. Creamer was promoted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Executive Vice President. Prior to joining the Company, from 2015 to December 2018, Ms. Creamer served as Senior Vice President, Human Resources and Communications for ITT, Inc., a manufacturing company, where she was responsible for providing vision, leadership and execution of the company’s people and communications strategies.</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Birgit Girshick</w:t>
      </w:r>
      <w:r>
        <w:rPr>
          <w:rFonts w:ascii="Times New Roman" w:cs="Times New Roman" w:eastAsia="Times New Roman" w:hAnsi="Times New Roman"/>
          <w:sz w:val="18"/>
          <w:szCs w:val="18"/>
          <w:color w:val="auto"/>
        </w:rPr>
        <w:t>, age 56, joined us in 1989 and originally held positions of increasing responsibility in our RMS Germany and Avian Vaccine businesses.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Ms. Girshick was promoted to General Manager of the Avian Vaccine Services business. She was named Executive Director, RMS Process Improvement in 2009, and Corporate Vice President, Global Biopharmaceutical Services in 2010. In 2013, Ms. Girshick was promoted to Corporate Senior Vice President, Research Models and Biologics Testing Solutions. In 2016, Ms. Girshick was tasked with leading the integration of WIL Research into our then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Safety Assessment business. Also, in 2016, Ms. Girshick assumed the role of Corporate Senior Vice President, Global Discovery Services. In February 2018, Ms. Girshick was appointed Corporate Executive Vice President, Global Discovery and Safety Assessment and in August 2018, additionally took on responsibility for our Biologics Solutions and Avian Vaccine Services business. In November 2021, Ms. Girshick was promoted to Chief Operating Officer of the Company, adding the Research Models and Services, Microbial Solutions and CDMO businesses as well as the Global Information Technologies group to her responsibilities. Since 2023, Ms. Girshick also has general oversight of the Corporate Sales and Marketing team and our Corporate and External Affairs function. In January 2026, the Board announced a leadership transition plan and unanimously appointed Ms. Girshick as the next Chief Executive Officer, concurrent with Mr. Foster’s planned retirement in May.</w:t>
      </w:r>
    </w:p>
    <w:p>
      <w:pPr>
        <w:spacing w:after="0" w:line="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Joseph LaPlume</w:t>
      </w:r>
      <w:r>
        <w:rPr>
          <w:rFonts w:ascii="Times New Roman" w:cs="Times New Roman" w:eastAsia="Times New Roman" w:hAnsi="Times New Roman"/>
          <w:sz w:val="18"/>
          <w:szCs w:val="18"/>
          <w:color w:val="auto"/>
        </w:rPr>
        <w:t>, age 52, joined us in 2005 as Senior Corporate Counsel. He became Deputy General Counsel in 2010, Vice President,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in 2011, Senior Vice President in 2014 and Corporate Executive Vice President, Corporate Development and Strategy in January 2019. In his current role, he oversees all aspects of strategic planning and corporate development activities across business segments and geographies. Prior to joining us, Mr. LaPlume was a corporate lawyer at GTECH Corporation and in private practice at the law firms of Mintz Levin and Goulston &amp; Storrs.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Mark Mintz</w:t>
      </w:r>
      <w:r>
        <w:rPr>
          <w:rFonts w:ascii="Times New Roman" w:cs="Times New Roman" w:eastAsia="Times New Roman" w:hAnsi="Times New Roman"/>
          <w:sz w:val="18"/>
          <w:szCs w:val="18"/>
          <w:color w:val="auto"/>
        </w:rPr>
        <w:t>, age 52, joined us in February 2021 as Corporate Senior Vice President, Chief Digital Officer, and was promoted to Corporate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Information Officer in June 2021. He was promoted to Corporate Executive Vice President, Chief Information Officer &amp; Global Shared Services in 2025. Mr. Mintz is responsible for delivering technology and shared functional and operational services that further enhance the Company’s abilities to achieve its long-term strategic objectives. Prior to joining Charles River, Mr. Mintz was a founding member of McKinsey &amp; Company’s digital labs, the firm’s technology delivery practice, and a leader of McKinsey’s enterprise architecture practice, where he led clients through large-scale digital, agile and technology transformation programs. Mr. Mintz holds a B.S. degree in Business Administration, Finance and MIS from State University of New York at Albany.</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Shannon Parisotto</w:t>
      </w:r>
      <w:r>
        <w:rPr>
          <w:rFonts w:ascii="Times New Roman" w:cs="Times New Roman" w:eastAsia="Times New Roman" w:hAnsi="Times New Roman"/>
          <w:sz w:val="18"/>
          <w:szCs w:val="18"/>
          <w:color w:val="auto"/>
        </w:rPr>
        <w:t>, age 52, joined us in 2000 in our Nevada operation. Ms. Parisotto progressed through a number of finance management 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responsibility, and in 2010, was promoted to Corporate Vice President, Preclinical Services, Finance. In this role, Ms. Parisotto was responsible for the financial operations of the global Preclinical Services business. Beginning in 2011, Ms. Parisotto’s role was expanded to include additional business segments, and in 2015, she was promoted to the newly created position of Corporate Senior Vice President &amp; Controller, Global Operations, where she worked collaboratively with Charles River’s business units to develop and implement business strategies. In 2020, Ms. Parisotto was promoted to Corporate Senior Vice President, Global Safety Assessment, where she was responsible for leading the Company’s global Safety Assessment organization, and positioning the business for continued, long-term growth and success. In October 2022, Ms. Parisotto was promoted to Corporate Executive Vice President, and assumed the additional oversight of our then Discovery Services business to lead its strategic vision and operational growth, as well as enhance the synergies between the businesses and with clients across the global DSA segment. Ms. Parisotto holds a B.S. in Accounting from the University of Nevada, Reno, an M.B.A. from the University of Phoenix, and is a Certified Public Accountant.</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Michael Knell</w:t>
      </w:r>
      <w:r>
        <w:rPr>
          <w:rFonts w:ascii="Times New Roman" w:cs="Times New Roman" w:eastAsia="Times New Roman" w:hAnsi="Times New Roman"/>
          <w:sz w:val="18"/>
          <w:szCs w:val="18"/>
          <w:color w:val="auto"/>
        </w:rPr>
        <w:t>, age 49, joined the Company in April 2017 as Corporate Senior Vice President and Chief Accounting Officer. In this role, Mr. Knell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providing strategic guidance to the finance groups, including direction of the Global Accounting, Financial Planning and Analysis, and Tax functions; maintaining the Company's fiscal records; and preparing its financial reports. He also oversees the design and operation of the Company’s system of internal controls, ensuring compliance with the rules and regulations of the Sarbanes-Oxley Act. In October 2025, Mr. Knell was appointed by our Board to act as our interim Chief Financial Officer. Prior to joining the Company, Mr. Knell served as the Chief Accounting Officer and Vice President of Finance at Bruker Corporation from 2012 to 2017. Mr. Knell was with Ernst &amp; Young LLP in its Boston office from 1998 until 2011, where he served in various roles including Partner - Assurance Services. Mr. Knell is a Certified Public Accountant in Massachusetts and holds a B.S. degree in Business Administration from the State University of New York at Buffalo.</w:t>
      </w:r>
    </w:p>
    <w:p>
      <w:pPr>
        <w:spacing w:after="0" w:line="7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Set forth below, elsewhere in this Form 10-K, and in other documents we file with the SEC are risks and uncertainties that could cause actual results to differ materially from the results contemplated by the forward-looking statements contained in this Form 10-K. We note that factors set forth below, individually or in the aggregate, as well as additional risks and uncertainties either not presently known or that are currently believed to not be material to the business, may cause our actual results to differ materially from expected and historical results. You should understand that it is not possible to predict or identify all such factors. Consequently, you should not consider the following to be a complete discussion of all potential risks or uncertainties and the risks described below should be carefully considered together with the other information set forth in this report and in future documents we file with the SEC.</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cause actual results to differ materially from the results contemplated herein.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Charles River.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financial risk for contracts that may be terminated or reduced in scope, underpriced, subject to cost overruns or delays.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and integrating our business systems could result in implementation issues and business disruptions.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and in the future could experience unauthorized access into our information systems.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development, deployment, and use of artificial intelligence present new risks and challenges and could adversely affect our business and reputation.</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executing our business strategy, including our failure in selecting and integrating the businesses and technologies we acquire, or in managing our current and future site closures and divestitures, our business may be adversely impacted.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realizing cost savings from our restructuring initiatives, our business may be adversely impacted.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risks relating to operating internationally, including changes in foreign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might be affected by the occurrence of a natural disaster or other catastrophic event.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attention from special interest groups may impair our business.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review of potential strategic alternatives may not result in an executed or consummated transaction or other strategic alternative, and the process of reviewing strategic alternatives or the outcome could adversely affect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 Factors</w:t>
      </w:r>
    </w:p>
    <w:p>
      <w:pPr>
        <w:spacing w:after="0" w:line="121" w:lineRule="exact"/>
        <w:rPr>
          <w:sz w:val="20"/>
          <w:szCs w:val="20"/>
          <w:color w:val="auto"/>
        </w:rPr>
      </w:pPr>
    </w:p>
    <w:p>
      <w:pPr>
        <w:ind w:left="660" w:right="3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of our product and service offerings, including our non-human primate supply, are dependent on a limited source of supply that, when interrupted, adversely affects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volatility, risk of credit losses, or a reduction or delay in government funding of R&amp;D may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or in practices relating to the pharmaceutical or biotechnology industries, including potential healthcare reform, could decrease the need for the services we provide.</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development and manufacturing services create a risk of liability, including risk that our products will not gain market acceptance and risk of failure to provide quality and timely service to customers.</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Contaminations in our animal populations can damage our inventory, harm our reputation for contaminant-free production, result in decreased sales and cause us to incur additional costs.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outsourcing trend in non-clinical and clinical stages of drug discovery and development may decrease, which could impair our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are highly competitive.</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 may be developed, validated and increasingly used in biomedical research, which could reduce demand for some of our products and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develop and market new services and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increasing more rapidly than market prices could reduce profitability.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 Factors</w:t>
      </w:r>
    </w:p>
    <w:p>
      <w:pPr>
        <w:spacing w:after="0" w:line="121" w:lineRule="exact"/>
        <w:rPr>
          <w:sz w:val="20"/>
          <w:szCs w:val="20"/>
          <w:color w:val="auto"/>
        </w:rPr>
      </w:pPr>
    </w:p>
    <w:p>
      <w:pPr>
        <w:ind w:left="660" w:right="3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us to comply with applicable regulations and related guidance could harm our reputation and operating results, and compliance with new regulations and guidance may result in additional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data privacy and security laws in various jurisdictions could subject us to denial of the right to conduct business, fines, criminal penalties and/or other enforcement actions that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U.S., state, local or international environmental, health, safety and sustainability laws and regulations could result in fines and penalties and loss of licensure and have a material adverse effect upon the Company’s business.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Tax Law, results of tax audits, or material changes in our stock price could have a material adverse impact on our effective tax rate and financial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and clinical contract research services create a risk of liability.</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obtain, maintain and enforce intellectual property rights and defend against assertions of third parties to intellectual property rights could adversely affect us.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state courts located in the State of Delaware as the sole and exclusive forum for certain actions, which could limit a stockholder’s ability to bring a claim in a judicial forum that it finds favorable and may discourage lawsuits with respect to certain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legal proceedings that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can have an adverse effect on our business and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Employment Risk Factors</w:t>
      </w:r>
    </w:p>
    <w:p>
      <w:pPr>
        <w:spacing w:after="0" w:line="1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and may not be able to retain these employees, which would harm our business.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hire or retain key team members or a highly skilled global workforce, it could have a negative impact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availability of, and good relations with, our team members.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 Factors</w:t>
      </w:r>
    </w:p>
    <w:p>
      <w:pPr>
        <w:spacing w:after="0" w:line="1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could adversely affect our business and growth prospects.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other intangible assets may adversely impact future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660" w:right="4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do not expect to pay any cash dividends for the foreseeable future, our shareholders will benefit from an investment in our common stock only if it appreciates in value.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vary, which could negatively affect the market price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focus on environmental, social and governance matters may impact our business, financial results or stock price.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financial risk for contracts that may be terminated or reduced in scope, underpriced, subject to cost overruns or delays.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our agreements, including those which underlie our strategic relationships with some of our more significant clients, allow for termination or reduction in scope with little or no notice. In addition, we sell our products and services to our competitors, and similarly they sell products and services to us. For instance, we have historically entered into, and currently are party to, contracts with certain of our competitors to distribute specialty research models in locations where our competitors may not have distribution capabilities.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counterparties (including our clients who are competitors) may elect to terminate their agreements with us for various reasons including: the invocation of force majeure clauses, or the legal doctrines of impossibility or impracticability, or other similar legal doctrines; the products being tested fail to satisfy safety requirements; unexpected or undesired study results; production problems resulting in shortages of the drug being tested; a client’s decision to forego or terminate a particular study; our competitors’ establishment of alternative distribution channels; dissatisfaction with our performance under the agreement; the loss of funding for the particular research study; or general convenience/counterparty preference. If a counterparty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terminates a contract with us, we are typically entitled under the terms of the contract to receive revenue earned to date as well as certain other costs and, in some cases, termination fees; however, in many cases we are not entitled to any termination fees in the event of a termination. Cancellation of a large contract or proximate delay, cancellation or conclusion of multiple contracts could materially adversely affect our business and, therefore, may adversely affect our operating results.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many of our contracts provide for services on a fixed price or fee-for-service with a cap basis and, accordingly, we bear the financial risk if we initially underprice our contracts or otherwise overrun our cost estimates. Such underpricing or significant cost overruns could have an adverse effect on our business, results of operations, financial condition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Upgrading and integrating our business systems could result in implementation issues and business disruptions.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recent years, we have been updating and consolidating platforms and automating processes in many parts of our business with a variety of systems, including in connection with the integration of acquired businesses. Continued expansion and ongoing implementation of operational systems may occur at a future date based on value to the business. In general, the process of planning and preparing for these types of integrated, wide-scale implementations is extremely complex and we are required to address a number of challenges, including information security assessment and remediation, regulatory requirements, data conversion, associated regulatory compliance, network and system cutover, user training, data residency, high availability, disaster recovery, latency, backups, archiving, cloud offerings, and integration with existing processes or systems. As we build out IT infrastructure to support regulatory requirements for applications and data systems, we are doing so utilizing contemporary validation practices. As with all work conducted in our regulated sites, these too are subject to government inspections. Incongruities in any of these areas could cause operational problems during implementation including inconsistent practices, delayed report and/or data shipments, missed sales, animal management/welfare issues, data loss issues that require re-doing certain studies, personally identifiable information and data privacy issues, billing errors and accounting errors.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in the future could experience unauthorized access into our information systems.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large and complex information systems that contain significant amounts of client data. As a routine element of our business, we collect, analyze and retain substantial amounts of data pertaining to the non-clinical studies we conduct for our clients. Unauthorized third parties could attempt to gain entry to such information systems to steal data or disrupt the systems or for financial gain. Like other companies, we have on occasion experienced, and will continue to experience, threats and incursions to our data and systems, including malicious software and viruses, phishing, business email compromise and social engineering attacks, network intrusions, or other cyber-attacks. The number and complexity of these threats continue to increase over time. These threats also may be further enhanced in frequency or effectiveness through threat actors’ use of artificial intelligence technologies, which are becoming more widely adopted and increasingly sophisticated.</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the date of this filing, to our knowledge, we have not experienced a material information security breach or material cybersecurity incident since an event in 2019. While we have implemented additional security safeguards since that event and continue to enhance existing safeguards, such efforts may not be successful, in which case we could suffer significant harm.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at risk of being targeted, and we have in the past been victim to, business email compromise fraud, which results in payments being made to illegitimate bank accounts. Although these instances have not resulted in our incurring material losses, if similar instances occur in the future, we may incur such losses.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software and hardware solutions from technology and services providers, including software-as-a-service and public cloud infrastructure, who have been subject to cybersecurity incidents in the past and may have incidents or breaches in the future. As of the date of this filing, to our knowledge, no prior cybersecurity incident or breach at a third party has had a material impact on our business. However, future incidents or breaches could cause us to suffer significant harm.</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contracts with our clients typically contain provisions that require us to keep confidential the information generated from the studies we conduct. In the event the confidentiality of such information is compromised, whether by unauthorized access or other breaches, we could be exposed to significant harm, including termination of customer contracts, damage to our customer relationships, damage to our reputation and potential legal claims from customers, employees and other parties. In addition, we may face investigations by government regulators and agencies as a result of a breach.</w:t>
      </w:r>
    </w:p>
    <w:p>
      <w:pPr>
        <w:spacing w:after="0" w:line="72"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Additionally, the rapid ongoing evolution and increased adoption of emerging technologies such as artificial intelligence and machine learning may make it more difficult to anticipate and implement protective measures to recognize, detect, and prevent the occurrence of any of the cyber events described above.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processes and practices related to information and cybersecurity, please see Section 1C of this report, “Cybersecurity”.</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development, deployment, and use of artificial intelligence present new risks and challenges and could adversely affect our business and reputation.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along with many businesses in the biopharmaceutical industry, are adopting and exploring the use of artificial intelligence (AI) in our business, and as an emerging and rapidly evolving technology, our use of AI introduces potential opportunities but also presents risks that could adversely affect our operations, information security and reputation. For example, algorithms may be flawed; data sets may be insufficient, of poor quality, or contain biased information; and inappropriate or controversial data practices by data scientists, engineers, and end-users could impair results. If the analyses that artificial intelligence-based applications assist in producing are deficient or inaccurate, we could be subjected to competitive harm, potential legal liability and brand or reputational harm. Use of AI-based software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The legal and regulatory landscape regarding the use of AI is rapidly evolving, including in the areas of intellectual property, cybersecurity, and privacy and data protection. Compliance may impose operational costs and limit our ability to use AI-based software, and failure to comply may result in potential government actions, litigation, fines, penalties or adverse publicity.</w:t>
      </w:r>
    </w:p>
    <w:p>
      <w:pPr>
        <w:spacing w:after="0" w:line="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selecting and integrating the businesses and technologies we acquire or partner with, or if we do not manage our current and future site closures and divestitures, our business may be adversely impacted.</w:t>
      </w:r>
    </w:p>
    <w:p>
      <w:pPr>
        <w:spacing w:after="0" w:line="5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During the last two decades, we have steadily expanded our business through numerous acquisitions and partnerships. However, businesses and technologies may not be available on terms and conditions we find acceptable. We risk spending time and money investigating and negotiating with potential acquisition or alliance partners, but not completing transactions.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alliances involve numerous risks which may include:</w:t>
      </w:r>
    </w:p>
    <w:p>
      <w:pPr>
        <w:spacing w:after="0" w:line="117"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business and financial success (due to unplanned events such as ongoing geopolitical conflicts or economic factors such as fluctuations in interest and foreign exchange rates, as well as tax regulations);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incurred in assimilating and integrating operations, services, products, information technology platforms, technologies or pre-existing relationships with our clients, distributors and suppliers;</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developing and operating new businesses, including those that are materially different from our existing businesses, which may require the development or acquisition of new internal capabilities and expertise;</w:t>
      </w:r>
    </w:p>
    <w:p>
      <w:pPr>
        <w:spacing w:after="0" w:line="53" w:lineRule="exact"/>
        <w:rPr>
          <w:rFonts w:ascii="Times New Roman" w:cs="Times New Roman" w:eastAsia="Times New Roman" w:hAnsi="Times New Roman"/>
          <w:sz w:val="18"/>
          <w:szCs w:val="18"/>
          <w:color w:val="auto"/>
        </w:rPr>
      </w:pPr>
    </w:p>
    <w:p>
      <w:pPr>
        <w:ind w:left="660" w:right="11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resulting from operational weaknesses or undiscovered liabilities of acquired companies that are not covered by the indemnifications we may obtain from sellers or any insurance we may acquire in connection with transactions;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absence of adequate internal controls and/or significant fraud in the financial systems of acquired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expansive regulatory environment;</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earnings, or in the event of acquisitions made through the issuance of our common stock to the shareholders of the acquired company, dilution to the percentage of ownership of our existing shareholders;</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foreign business practices, customs and importation regulations, language and other cultural barriers in connection with the acquisition of foreign companies;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technologies and products may be developed that cause businesses or assets we acquire to become less valuable;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or disputes with prior owners of an acquired business, technology, service or product that may result in legal settlements, litigation expenses and diversion of our management’s attention.</w:t>
      </w:r>
    </w:p>
    <w:p>
      <w:pPr>
        <w:spacing w:after="0" w:line="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Acquisitions or alliances realizing these risks could increase the likelihood of our results of operations being adversely affected. Some of the same risks exist when we decide to close or sell a business, site, product line or service offering. We continually evaluate the performance and strategic fit of our business and the sites in which they operate to determine whether a site closure or divestiture is appropriate. Such actions could involve additional risks, other than those listed above, including: difficulties in the separation of operations, services, products, and personnel, the need to agree to retain or assume certain current or future liabilities in order to complete the divestitures or site closures, as well as write-offs, including those related to goodwill and other intangible assets and which could have an adverse effect on our results of operations and financial condition. In addition, we may encounter difficulty in finding buyers or alternative exit strategies at acceptable prices and terms, and in a timely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manner. We may not be successful in managing these or any other significant risks that we encounter in divesting a business, site or product line or service offering and, as a result, we may not achieve some or all of the expected benefits of the divestitures.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execute our business strategy could adversely impact our growth and profitability.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strategy is to deliver a comprehensive and integrated portfolio of drug discovery and non-clinical development products, services and solutions to support our clients’ discovery, preclinical, early clinical and early stage scale up and early stage manufacturing efforts, and enable them to bring new and improved therapies to market faster and more cost effectively. As a focus, CRL aims to be the premier provider of products and services that ensure our clients develop, produce and release their products safely. Separately, through our various Manufacturing segment businesses, we aim to be the premier provider of products and services that ensure our clients produce and release their products safely. If we are unable to successfully execute on this strategy, this could negatively impact our future results of operations and market capitalization. Similarly, if we are unable to successfully execute on the Board of Directors’ comprehensive strategic review and evaluation of Charles River’s business and growth prospects, this could negatively impact our future results of operations and market capitalization.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decline or lower than expected growth in our served markets could diminish demand for our products and services, which would adversely affect our results of operations and financial condition. In recent years, we experienced such a lower-than-expected demand growth in a number of businesses, including the businesses that comprise our DSA reporting segment. To address this issue generally, we typically pursue a number of strategies designed to improve our internal growth, including strengthening our presence in selected geographic markets through organic growth and strategic acquisitions and expanding our service offerings. In addition, we have implemented a number of restructuring actions, including to optimize our global operational footprint and reduce staffing levels, and other initiatives to drive operating efficiencies to help offset the lower-than-expected demand growth and protect the operating margin. We may not be able to successfully implement these strategies, and these strategies may not result in the expected growth or improved profitability of our business.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our strategy assumes a certain degree of capital and capacity growth development. Factors such as insufficient capital, inflation, supply chain interruptions, inadequate forecasting, increases in construction material costs, or labor shortages could interfere with the successful execution of our strategy and our ability to timely build infrastructure to satisfy capacity needs and support business growth. For additional discussion of our business strategy, please see the section above entitled “Our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realize cost savings from our restructuring initiatives would adversely impact our growth and profitability.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in the section above entitled “Our Strategy,” we are taking decisive action to manage the Company through the current demand environment, including appropriately right-sizing our infrastructure, driving efficiency, and optimizing operations, including through process improvement, procurement synergies, and implementation of a global business services model, with a goal to protect operating margin. We are committed to initiatives to generate more revenue, contain costs, and protect shareholder value through enhanced commercial initiatives, restructuring and efficiency actions to drive cost savings, as well as a balanced approach to capital deployment; these initiatives include reducing staffing levels to align with the pace of demand and site closures. Similarly, we are working to execute the Board of Directors’ comprehensive strategic review and evaluation of Charles River’s business and growth prospects. While we drive these initiatives to result in significant profit opportunities and savings throughout our organization, our estimated profits and savings are based on assumptions that may prove to be inaccurate, and as a result, there can be no assurance that we will realize these profits and cost savings or that, if realized, these profits and cost savings will be sustained. Failure to achieve or delays in achieving projected levels of efficiencies and cost savings from such measures, or unanticipated inefficiencies resulting from manufacturing and administrative reorganization actions in progress or contemplated, could adversely affect our business, financial condition, results of operations and cash flows and harm our reputation.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relating to operating internationally, including changes in foreign currency exchange rates.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significant part of our revenue is derived from operations outside the U.S. We expect that international revenue will continue to account for a significant percentage of our total revenue for the foreseeable future.</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Changes in foreign currency exchange rates could materially adversely impact our results. Foreign currencies we receive for sales and in which we record expenses outside the U.S. could be subject to unfavorable exchange rates with the U.S. dollar, resulting in a reduction in the amount of revenue and cash flow (and an increase in the amount of expenses) that we recognize and causing fluctuations in reported financial results. We also carry foreign currency exposure associated with differences between where we conduct business. For example, certain contracts are frequently denominated in currencies other than the currency in which we incur expenses related to those contracts. Where expenses are incurred in currencies other than those in which contracts are priced, fluctuations in the relative value of those currencies could have a material adverse effect on our results of operations.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exposure to currency exchange rate fluctuations results from the currency translation exposure associated with the preparation of our consolidated financial statements, as well as from the exposure associated with transactions of our subsidiaries that are denominated in a currency other than the respective subsidiary’s functional currency. While our financial results are reported in U.S. Dollars, the financial statements of many of our subsidiaries outside the U.S. are prepared using the local currency as the functional currency. During consolidation, these results are translated into U.S. Dollars by applying appropriate exchange rates. As a result, fluctuations in the exchange rate of the U.S. Dollar relative to the local currencies in which our foreign subsidiaries report could cause significant fluctuations in our reported results. Moreover, as exchange rates vary, revenue and other operating results may differ materially from our expectations. Adjustments resulting from financial statement translations are included as a separate component of shareholders’ equity.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risks associated with our international business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 markets in which we operate;</w:t>
      </w:r>
    </w:p>
    <w:p>
      <w:pPr>
        <w:spacing w:after="0" w:line="117" w:lineRule="exact"/>
        <w:rPr>
          <w:rFonts w:ascii="Times New Roman" w:cs="Times New Roman" w:eastAsia="Times New Roman" w:hAnsi="Times New Roman"/>
          <w:sz w:val="18"/>
          <w:szCs w:val="18"/>
          <w:color w:val="auto"/>
        </w:rPr>
      </w:pPr>
    </w:p>
    <w:p>
      <w:pPr>
        <w:ind w:left="660" w:right="34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U.S. and/or foreign laws, including changes that may bar us from engaging in business transactions with certain clients, and changes in tax laws, or interpretations and enforcement thereof, notably tax regulations issued and to-be-issued with respect to the potential adoption of global minimum taxation requirements and potential changes to existing tax law by the current U.S. Presidential administration and Congress;</w:t>
      </w:r>
    </w:p>
    <w:p>
      <w:pPr>
        <w:spacing w:after="0" w:line="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uncertainties as a result of instability or changes in geopolitical conditions, including terrorist acts or military or political conflicts, such as those caused by the ongoing conflicts between Russia and Ukraine or Israel and Hamas (the potential escalation or geographic expansion of which could heighten other risks identified in this report);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adverse tax consequences and legal restrictions on the repatriation of funds into the U.S.;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staffing and managing foreign operations, including risks of work stoppages and/or strikes, as well as violations of local laws or anti-bribery laws such as the U.S. Foreign Corrupt Practices Act (FCPA), the U.K. Bribery Act and the OECD Convention on Combating Bribery of Foreign Public Officials in International Business Transactions;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of compliance with a wide variety of foreign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labor regulations in foreign jurisdictions;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relationships, including new tariffs, trade protection measures, import or export licensing requirements, trade embargoes and sanctions, and other trade barriers;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cycles in certain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of our intellectual property rights in certain foreign countries; and</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controls, import requirements and other trade regulations, including those relating to certain products of which there is limited supply.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risks, individually or in the aggregate, could have an adverse effect on our results of operations and financial condition. For example, as mentioned above, we are subject to compliance with the FCPA, which prohibits companies and their third-party intermediaries from offering or making improper payments to foreign government officials for the purpose of obtaining or retaining business. Likewise, we are also subject to other international anti-bribery laws such as the UK Bribery Act which prohibit companies and their third-party intermediaries from offering or making improper payments to commercial parties. While our employees and third-party intermediaries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affected by the occurrence of a natural disaster or other catastrophic event.</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depend on our customers continued demand and solvency at our facilities for the continued operation of our business. While we maintain disaster recovery plans, they might not adequately protect us. Despite any precautions we take for natural disasters or other catastrophic events, these events, including terrorist attack, a pandemic, epidemic or outbreak of a disease, geopolitical conflict, information system disruption, hurricanes, tornadoes, fire, wildfire, floods and ice and snow storms, could result in damage to and closure of our or our customers’ facilities, our suppliers’ facilities, or the infrastructure on which such facilities rely. Such disruptions could include significant delays in the shipments of our products, reduce our capacity to provide services, adversely impact unique manufacturing capabilities, result in our customers’ inability to pay for our products or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services and, ultimately, result in the loss of revenue and clients. Although we carry business interruption insurance and typically have provisions in our contracts that protect us in certain events, our coverage might not be adequate to compensate us for all losses that may occur. Any natural disaster or catastrophic event affecting us, our customers, or our suppliers, could have a significant negative impact on our operations and financial performance.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attention from special interest groups may impair our business.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products and services that we provide our clients are essential to the drug discovery, development and manufacturing processes, and a significant amount are mandated by law. Notwithstanding, certain special interest groups categorically object to the use of animals for valid research purposes. Historically, our core research model activities with rats, mice and other rodents have not been the subject of significant animal rights media attention. However, research activities involving animal models have been the subject of adverse attention, including shareholder proposals and attempts to disrupt carriers from transporting large research models and actions aimed at preventing expansion of operations. This has included periodic demonstrations near facilities operated by us and at our annual meetings, as well as shareholder proposals we received for some of our past Annual Meetings of Shareholders. In addition, these groups have on occasion petitioned to have certain species of research models (specifically NHPs) declared endangered by governmental and non-governmental organizations and have advocated for the governing bodies to the Convention on International Trade in Endangered Species of Wild Fauna and Flora to restrict the exportation of certain NHP species from specific countries. Furthermore, the habitat of certain animals used for research purposes may be located in or near certain environmentally protected areas or conservation areas. Activities conducted by us or any of our agents within these areas may be legally challenged and result in similar negative attention and action from environmental protection activists, including advocacy for the expansion of environmental restrictions applicable to such areas. Any negative attention, threats, acts of vandalism or legal action directed against our animal research or procurement activities (including species of research models), or our third-party service providers, such as our airline carriers or suppliers, or that restrict our or their ability to access protected or conservation areas, could impair our ability to operate our business efficiently.</w:t>
      </w:r>
    </w:p>
    <w:p>
      <w:pPr>
        <w:spacing w:after="0" w:line="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review of potential strategic alternatives may not result in an executed or consummated transaction or other strategic alternative, and the process of reviewing strategic alternatives or the outcome could adversely affect our business.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May 6, 2025, in connection with a Cooperation Agreement entered into with a large shareholder of the Company, we agreed, among other things, to have the Strategic Planning and Capital Allocation Committee of our Board of Directors oversee and direct a comprehensive strategic review and evaluation of the Company’s business and prospects, including an examination of various alternatives to enhance long-term stockholder value. On November 5, 2025, the Company announced that, as part of our Board of Directors’ comprehensive strategic review of our business and growth prospects, we will focus on strategic initiatives to strengthen our leading scientific portfolio within our core markets through strategic acquisitions, partnerships, and internal investments; divest certain non-core assets; maximize our financial performance, including by implementing additional initiatives aimed at driving greater operating efficiency, which are expected to generate incremental net cost savings; and maintain a disciplined approach to capital deployment through regularly evaluating the optimal balance between strategic acquisitions, stock repurchases, debt repayment, and other uses of capital. There is no assurance that the process will result in the approval or completion of any specific transaction or outcome. Further, there is no guarantee that any transaction resulting from the strategic review will ultimately benefit our stockholders.</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process of reviewing potential strategic and operational alternatives is time consuming and costly and may divert management’s attention. It may also be disruptive to our business operations and long-term planning, which may cause concern to our current or potential investors, customers, employees, strategic partners, vendors and other stakeholders and may have a material impact on our operating results or result in increased volatility in our stock price.</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potential transaction or other strategic alternative, including, without limitation the acquisitions of the assets of K.F. (Cambodia) Ltd. and Pathoquest SAS, would be dependent on a number of factors that may be beyond our control, including, among other things, market conditions, industry trends, regulatory approvals, and the availability of financing for a potential transaction on favorable terms. There can be no assurance that any potential transaction or other strategic alternative will be successfully implemented, achieve the intended benefits or provide greater value to our stockholders than that reflected in the current price of our common stock. Until the review process is concluded, perceived uncertainties related to our future may result in the loss of potential business opportunities, volatility in the market price of our common stock and difficulty attracting and retaining qualified talent and business partners.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 Factors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Several of our product and service offerings, including our non-human primate supply, are dependent on a limited source of supply that, when interrupted, adversely affects our business.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depend on a limited international source of supply for certain products, such as large research models, including NHPs. Disruptions to their continued supply from time to time arise from colony health problems (including as a result of the spread of diseases), export or import laws/restrictions or embargoes, tariffs, inflation, international trade regulations, foreign government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or economic instability, severe weather conditions, increased competition among suppliers for models, disruptions to the air travel system, activist campaigns, commercial disputes, supplier insolvency, geopolitical disputes, or other ordinary course or unanticipated events. Any disruption of supply could materially harm our business if we cannot remove the disruption or are unable to secure an alternative or secondary supply source on comparable commercial terms.</w:t>
      </w:r>
    </w:p>
    <w:p>
      <w:pPr>
        <w:spacing w:after="0" w:line="7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As with other industry participants, certain of our activities rely on a sufficient supply of large research models, which has seen increasing demand as compared to supply in recent years due to a variety of factors. First, the surge of research relating to COVID-19 increased short-term demand. Second, China previously supplied a significant portion of certain critical large research models, which have been subject to geographic export restrictions applicable to many animal species since the beginning of the COVID-19 pandemic. And third, in concert with legal matters affecting the Cambodian supply of non-human primates, the non-human primate supply chain globally has recently experienced constriction. More broadly, legal matters and investigations may have ancillary impacts that impair supply chain access. For example, in November 2022 the U.S. Department of Justice (DOJ) announced that a Cambodia supplier of non-human primates and two Cambodian officials had been criminally charged in connection with illegally importing non-human primates into the United States, which led to an effective cessation of imports from Cambodia to the United States for a period of time. Specific to the Company, in 2023, in connection with a now closed investigation by the DOJ and USFWS into the Company’s conduct regarding several shipments of non-human primates from Cambodia, the Company announced it was voluntarily suspending planned future shipments of Cambodia non-human primates into the United States until such time that the Company and USFWS could agree upon and implement additional procedures to reasonably ensure that non-human primates imported to the United States from Cambodia are purpose-bred. In November 2025, the Company received USFWS CITES clearance to import Cambodian NHPs into the United States, and has resumed such activity.</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we continue to take steps to find alternative supply channels (and other global sources) and lock in supply (both for non-human primates and with respect to other limited supply products) with preferred sources through multi-year and/or minimum commitment contracts as well as through acquisitions of suppliers, there are limited sources and such mitigating efforts may not prove successful at ensuring a steady and timely supply or may require (and in the past have required) us to pay significantly higher prices for such products during periods of global shortage or restrictions on the importation or the transportation of models products. Limited global supply or regional restrictions on importation, exportation, and/or transportation for certain products may require us to source products from non-preferred vendors, which may not be successful. In addition, reductions in global air transportation routes may result in sourcing alternative transportation at an increased cost. We also may be unable to obtain supply due to governmental restrictions or limitations, including (as noted above) non-human primates, such as prohibitions on the importation, exportation and/or transportation of non-human primates from certain geographies entirely. Finally, from time to time, special interest groups may attempt to list certain large research models, including certain categories of NHPs, as “endangered” under the Endangered Species Act in the United States or similar statutes in other countries. In the event that certain NHPs are classified as endangered, our business could be negatively impacted. An inability to obtain a sufficient and timely supply of critical products could adversely affect our business, financial results and results of operations.</w:t>
      </w:r>
    </w:p>
    <w:p>
      <w:pPr>
        <w:spacing w:after="0" w:line="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Portions of our Cell Solutions business depends on the availability of appropriate donors. Regulations intended to control infectious disease or requirements in cell therapy manufacturing processes could also result in a decreased pool of potential donors or integrity of inventory. Due to any pandemic, epidemic or outbreak in one or more regions in which our Cell Solutions business operates, the portion of the donor pool that typically donates may be unable, or unwilling to donate, thereby significantly reducing the availability of research products upon which we rely. In addition, healthcare concerns among the public may result in a decline in donations. If donor participation declines, we may not be able to reduce costs, which in turn may negatively impact the operating margin of the Cell Solutions business.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CDMO services establish us as a premier scientific partner for cell and gene therapy development, testing, and manufacturing; enable us to provide clients with an integrated solution from analytical and process development through cGMP production; enable us to drive efficiency and accelerate clients’ speed-to-market by integrating manufacturing and the required testing; and enable our clients to seamlessly conduct analytical testing, process development, and manufacturing for advanced modalities with the same scientific partner. Furthermore, our CDMO operations require various raw materials supplied primarily by third parties. We or our customers specify the raw materials and other items required to manufacture the applicable product and, in some cases, the customers specify the suppliers from whom we must purchase these raw materials. In certain instances, the raw materials and other items may only be supplied by a limited number of suppliers or in limited quantities. If third-party suppliers do not supply raw materials or other items on a timely basis, it may cause a manufacturing run to be delayed or canceled which could materially adversely affect our results of operations and financial condition.</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Furthermore, in general, third-party suppliers may fail to provide us with raw materials and other items that meet the qualifications and specifications required by us or our customers. If third-party suppliers are not able to provide us with raw materials that meet our or our customers’ specifications on a timely basis, we may be unable to manufacture the product for our clients or it could prevent us from delivering products to our customers within required time frames. Any such delay in delivering products to our clients may create liability for us to our customers for breach of contract or cause us to experience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order cancellations and loss of customers. In the event that we manufacture products with components or raw materials that do not meet our qualifications and specifications or those of our customers or governmental or regulatory authorities, we may become subject to product liability claims caused by defective raw materials or components from a third-party supplier or from a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volatility and risk of credit losses from clients may adversely affect our business.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could be adversely affected by any significant decrease in drug R&amp;D expenditures by pharmaceutical and biotechnology companies, as well as by academic institutions, government laboratories or private foundations. Similarly, economic factors and industry trends that affect our clients in these industries also affect their R&amp;D budgets and, consequentially, our business as well.</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clients include researchers at pharmaceutical and biotechnology companies. Our ability to continue to grow and win new business is dependent in large part upon the ability and willingness of the pharmaceutical and biotechnology industries to continue to invest in discovery in the non-clinical phases of R&amp;D (and in particular discovery and safety assessment) and to outsource the products and services we provide. Furthermore, our clients (particularly larger biopharmaceutical companies) continue to search for ways to maximize the return on their investments with a focus on lowering R&amp;D costs per drug candidate. Fluctuations in the expenditure amounts in each phase of the R&amp;D budgets of these researchers and their organizations could have a significant effect on the demand for our products and services. R&amp;D budgets fluctuate due to changes in available resources, mergers of pharmaceutical and biotechnology companies, spending priorities (including available resources of our biotechnology clients, particularly those that are cash-negative, who may be highly focused on rationing their liquid assets in a challenging funding environment), general economic conditions, institutional budgetary policies and the impact of government regulations, including potential drug pricing legislation. Available funding for biotechnology clients in particular may be affected by the capital markets, investment objectives of venture capital investors and priorities of biopharmaceutical industry sponsors.</w:t>
      </w:r>
    </w:p>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provisions of the Inflation Reduction Act passed in 2022 impact the U.S. federal income taxation of corporations. This may impact the profitability for our clients. Reduced profitability for our clients could in turn negatively impact the overall demand environment for our services from those clients.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our business is exposed to the risk of credit losses, which arises from our extension of credit to clients. The collectability of accounts receivable may be adversely affected by various factors, including economic downturns, changes in clients’ financial conditions, and industry-specific challenges. A deterioration in the creditworthiness of our clients could result in the need to establish or increase our allowance for credit losses. We regularly assess the creditworthiness of our clients, establish credit limits, and monitor payment patterns. However, our ability to manage credit risk and maintain an adequate allowance for credit losses may be impacted by factors beyond our control, such as unforeseen economic conditions or significant shifts in client payment behavior. Additionally, changes in global or regional economic conditions may affect the overall credit environment and impact our clients’ ability to fulfill their payment obligations.</w:t>
      </w:r>
    </w:p>
    <w:p>
      <w:pPr>
        <w:spacing w:after="0" w:line="8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factors that we believe have recently been influencing R&amp;D budgets at our clients, please see the sections entitled “Our Strategy” and “Management’s Discussion and Analysis of Financial Condition and Results of Operations” included elsewhere in this Form 10-K.</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Additionally, we have businesses that depend on our supply of large research models to clients. Sudden or unexpected changes in demand, market conditions, or the regulatory environment for these models could have an adverse impact on our profitability. Increasing demand could harm relationships with clients if we are unable to alter production capacity, or purchase products from other suppliers, to fill orders adequately. Decreased demand could result in inventory surpluses, which could also significantly impact our results and operations. In particular, if the price of non-human primates increases significantly, or if we are unable to transport the non-human primates in our possession to our clients because of governmental restrictions or limitations, our business may be materially adversely affected. In addition, overall supply constraints with respect to large research models has led to an extremely dynamic pricing environment for non-human primates, which has, and could continue to, make it difficult to predict results, lead to reduced volumes, and require us to adjust operations.</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operate businesses which depend upon the regulatory approval of the products they manufacture for their CDMO clients. As such, if these clients experience a suspension, delay in, or failure to receive, approval for any of their product candidates or fail to maintain regulatory approval of their products that we develop or manufacture, our revenue and profitability could be materially adversely affected. Additionally, if the FDA or a comparable foreign regulatory authority does not approve of our facilities for the manufacture of a client product, observes significant deficiencies or violations at its facilities or withdraws such approval in the future, our clients may choose to identify alternative manufacturing facilities and/or relationships, which could significantly impact our CDMO capacity and capabilities and results of operations therefrom and could have a negative impact on our reputation and financial results.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reduction or delay in government funding of R&amp;D may adversely affect our business.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portion of revenue, predominantly in our RMS segment, is derived from clients at academic institutions and basic research laboratories whose funding is partially dependent on both the level and timing of funding from government sources such as the U.S. National Institutes of Health (NIH) and similar domestic and international agencies, which can be difficult to forecast. We also sell directly to the NIH and these other agencies. Government funding of R&amp;D is subject to the political process, which is inherently fluid and unpredictable. For example, the NIH announced on February 7, 2025, a policy significantly reducing research grants by limiting payments for indirect overhead. This policy was subject to an injunction at the district court and appellate court levels. However, in August 2025, the United States Supreme Court ruled that the lower courts did not have jurisdiction to reinstate the grant funding, allowing nearly $800 million in federal grants to be terminated. Our revenue may be adversely affected if our clients delay purchases as a result of uncertainties surrounding the approval of government budget proposals, included reduced allocations to government agencies that fund R&amp;D activities. Government proposals to reduce or eliminate budgetary deficits have sometimes included reduced allocations to the NIH and other government agencies that fund R&amp;D activities, or NIH funding may not be directed towards projects and studies that require the use of our products and services, both of which could adversely affect our business and our financial results.</w:t>
      </w:r>
    </w:p>
    <w:p>
      <w:pPr>
        <w:spacing w:after="0" w:line="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regulation or in practices relating to the pharmaceutical or biotechnology industries, including potential healthcare reform, could decrease the need for the services we provide.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Governmental agencies throughout the world strictly regulate the drug development process. Our business involves helping our customers navigate these regulatory processes. Accordingly, many regulations, and often new regulations, are expected to result in higher regulatory standards and often additional revenues for companies that service these industries. Some changes in regulations, including the relaxation of certain requirements or the use of streamlined or expedited approval procedures, may reduce the scope of preclinical testing needed. Other changes that increase regulatory obligations or affect the competitiveness of our services may lessen the demand for certain offerings.</w:t>
      </w:r>
    </w:p>
    <w:p>
      <w:pPr>
        <w:spacing w:after="0" w:line="7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 xml:space="preserve">For example, in December 2022, the FDA Modernization Act 2.0 was passed, which clarified the methods manufacturers and sponsors may use to investigate the safety and efficacy of a drug. In April 2025, the FDA announced its intention to expand the use of scientifically supported cell-based approaches and other new approach methodologies (NAMs), such as organ-on-chip systems, computational modeling, and advanced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in preclinical safety studies; in October 2025, the FDA announced its intention to streamline the approval process for biosimilar drug development and indicated further announcements related to reducing animal testing requirements may be forthcoming; and in November 2025, the U.K. government</w:t>
      </w:r>
    </w:p>
    <w:p>
      <w:pPr>
        <w:spacing w:after="0" w:line="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announced a roadmap to phasing out animal testing in favor of alternative methods. Eliminating the use of animals in research may have material adverse effects on our business, results of operations, or financial condition. While there have been significant advancements in the development of alternative methods, the complete elimination of animals in research will be a gradual process that may take many years to achieve. While we are committed to working with the industry to support development and to provide the best translational models to supplement or replace traditional models as part of our Replacement, Reduction, and Refinement (3Rs) initiative, the use of animals in research is highly regulated and proposed changes to current regulations will need to be carefully evaluated to ensure that they do not compromise the safety and efficacy of new drugs and medical treatments.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believe we are currently in compliance in all material respects with applicable national, regional and local laws, as well as other accepted guidance used by oversight bodies (including the USDA, the standards set by the International Air Transport Association, the Convention on International Trade in Endangered Species of Wild Fauna and Flora, USFWS, The Centers for Disease Control, the Department of Transportation, the Department of State, the office of Laboratory Animal Welfare of NIH, the Drug Enforcement Agency, as well as numerous other oversight agencies in the jurisdictions in which we operate), failure to comply could subject us to denial of the right to conduct business, fines, criminal penalties and other enforcement actions. For additional discussion of the factors specifically affecting our non-human primates including related oversight trade compliance agencies, please see the sections entitled “Item 1A. Risk Factors – Industry Risk Factors - Several of our product and service offerings, including our non-human primate supply, are dependent on a limited source of supply that, when interrupted, adversely affects our business”, and “Item 3. Legal Proceedings” included elsewhere in this Form 10-K. In addition, if regulatory authorities were to mandate a significant reduction in safety assessment procedures that utilize research animals (as has been advocated by certain groups), certain segments of our business could be materially adversely affected.</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Implementation of healthcare reform legislation, including certain provisions of the Inflation Reduction Act, may offer some benefits, but may also introduce costs or changes that affect the potential financial returns associated with developing new drugs. This could adversely affect R&amp;D expenditures by pharmaceutical and biotechnology companies, which could in turn decrease the business opportunities available to us both in the U.S. and abroad. In addition, new laws or regulations may create a risk of liability, increase our costs or limit our service offerings. Furthermore, if health insurers were to change their practices with respect to reimbursements for pharmaceutical products, our clients may spend less or reduce their growth in spending on R&amp;D.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it is not possible to predict whether and when any such changes will occur, updates at the local, state or federal level, or to laws and regulations in foreign jurisdictions where we operate or maintain business relationships, may materially affect our domestic and/or international operations. Furthermore, modifications to international trade policy, public company reporting requirements, environmental regulation and antitrust enforcement may have a materially adverse impact on us, our suppliers or our clients.</w:t>
      </w:r>
    </w:p>
    <w:p>
      <w:pPr>
        <w:spacing w:after="0" w:line="6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Biologics Solutions business, financial condition and results of operations may be adversely affected if the products we manufacture and/or test for our customers do not gain market acceptance.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products we manufacture for our customers do not gain market acceptance or production volumes of key products that we manufacture for our customers decline, the financial condition and results of our operations may be adversely affected. For our CDMO services, we will depend on, and have no control over, market acceptance for the products that we will manufacture for our customers. Consumer demand for these products could be adversely affected by, among other things, delays in securing regulatory approvals, the emergence of competing or alternative products, including generic drugs, the emergence of new safety data for such products, the loss of patent and other intellectual property rights protection, reductions in private and government payment product subsidies or changing product marketing strategies.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CDMO services are highly complex and failure to provide quality and timely services to our CDMO customers, could adversely impact our business.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CDMO services we offer can be highly complex, due in part to strict regulatory requirements and the inherent technical complexity of the services provided. A failure of the quality control or related systems and processes in our facilities could cause problems in connection with facility operations for a variety of reasons, including with respect to equipment malfunction, microbial or other contamination, compliance with specific manufacturing instructions, compliance with protocols and standard operating procedures, issues with raw materials, and issues with product testing. Such issues could affect the production of a single manufacturing run, multiple runs, or entire manufacturing campaigns, potentially requiring the destruction of products and cessation of manufacturing operations. In addition, any failure to meet required quality and regulatory standards may result in our failure to timely deliver products to our customers which, in turn, could damage our reputation for quality and service. Similarly, if the FDA or other regulators develop concerns over regulatory compliance in connection with our manufacturing activities of clinical trial products, including with respect to the safety of a product, such authorities can delay or suspend a client’s clinical trial by placing it on a full or partial "clinical hold" pending receipt of additional data to satisfy such concerns. A clinical hold on a client’s trial may require us to spend significant resources to address the underlying causes of the client’s clinical hold. In addition, if we are not able to successfully address such underlying causes or our response is not deemed adequate to lift the client’s clinical hold, the clinical program may have to be terminated. The same or similar regulatory issues can occur in connection with the manufacture of commercial products in the event of compliance concerns, whereby FDA or other regulators may prevent the distribution of products manufactured at our facilities and require corrective actions to address such concerns, which can be substantial and time consuming. In the event of material compliance issues, FDA or other regulators may also refuse to approve our clients’ applications to market products manufactured at our facilities, which may also adversely affect our business. In January 2025, a CDMO client disclosed that, as a result of observations made during pre-license inspections at a Company facility, (1) one biologics license application for a specific therapeutic treatment had received a complete response letter from the FDA, and (2) the FDA had placed clinical holds on that client’s Investigational New Drug applications. In addition, subsequently the FDA conducted an inspection at the same Company facility resulting in the Company receiving a Form FDA 483 Notice of Inspectional Observations. In October 2025, a successful pre-license inspection was performed and we are closely partnered with this client through the remaining steps of their biologics license resubmission. In addition, we are, from time to time, subject to commercial disputes and legal actions from CDMO customers with respect to the products and services we provide. These types of events, including manufacturing disruptions, delays in clients’ clinical programs, commercial disputes, legal actions, and/or failures to obtain marketing approvals may adversely affect our business and/or results of operations.</w:t>
      </w:r>
    </w:p>
    <w:p>
      <w:pPr>
        <w:spacing w:after="0" w:line="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Contaminations in our animal populations can damage our inventory, harm our reputation for contaminant-free production, result in decreased sales and cause us to incur additional costs.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Both small and large research models must be free of certain infectious agents, such as select viruses, parasites, and bacteria, because the presence of these contaminants can distort or compromise the quality of research results and/or could adversely impact human or animal health. The presence of these infectious agents in our animal production facilities and certain service operations could impact the quality of our contaminant-free research model as well as our animal services businesses, including GEMS, harm our reputation for contaminant-free production and result in decreased sales. There also exists a risk that contaminations from models that we produce may affect our client’s facilities, requiring our support to resolve the impact. In some cases, we may produce or import animals carrying infectious agents capable of causing disease in humans; and in the case of such a contamination or undiagnosed infection, there could be a possible risk of human exposure and infection and liability for damages to infected persons.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When considering our large research models, while some of these models are owned by us and maintained at our facilities, others are reserved for us and maintained at sites operated by the original provider. Accordingly, risk of contamination may be outside of our control, and we depend on the practices and protocols of third parties to ensure a contamination-free environment. A contamination may require extended CDC or CFIA quarantine with subsequent reduced sales as a result of lost client orders, as well as the potential for complete inventory loss and disinfection of the affected quarantine rooms. Furthermore, while we often negotiate for contractual risk indemnification, the third party may refuse to fulfill its indemnification obligation or may be unable to as a result of insolvency or other impediments.</w:t>
      </w:r>
    </w:p>
    <w:p>
      <w:pPr>
        <w:spacing w:after="0" w:line="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Contaminations are unanticipated and difficult to predict and could adversely impact our financial results. If they occur, contaminations typically require cleaning up, renovating, disinfecting, retesting and restarting production or services. Such contaminations result in inventory loss, clean-up and start-up costs, and reduced sales as a result of lost client orders and potentially credits for prior shipments. In addition to microbiological contaminations, the potential for genetic contaminations also exists and may require us to restart the applicable animal colonies, and would result in inventory loss, additional start-up costs and possibly reduced sales. Contaminations also expose us to risks that clients will request compensation for damages in excess of our contractual indemnification requirements. A contamination event could also have a negative impact on our reputation and financial results.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many of our operations are comprised of complex mechanical systems that are subject to periodic failure, including aging fatigue. Such failures are unpredictable, and while we have made significant capital expenditures designed to create redundancy within these mechanical systems, strengthen our biosecurity, improve our operating procedures to protect against such contaminations, and replace impaired systems and equipment in advance of such events, failures and/or contaminations may still occur.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outsourcing trend in non-clinical and clinical stages of drug discovery and development may decrease, which could impair our growth.</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Over the past decade, pharmaceutical and biotechnology companies have generally increased their outsourcing of non-clinical and clinical research support activities, such as drug discovery, safety assessment and clinical trial support. While many industry analysts expect the outsourcing trend to continue to increase for the next several years (although with different growth rates for different phases of drug discovery and development), decreases in such outsourcing may result in a diminished growth rate in the sales of any one or more of our service lines and may adversely affect our financial condition and results of operations. For additional discussion of the factors that we believe have recently influenced outsourcing demand from our clients, please see the section entitled “Our Strategy”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industries in which we operate are highly competitive. We compete for business with other non-clinical drug development partners and blood product and therapeutic services companies, other CDMOs, as well as internal discovery and development departments within our larger clients, who may have greater resources than ours. We also compete with universities and teaching hospitals for outsourced services. We compete on a variety of factors, including:</w:t>
      </w:r>
    </w:p>
    <w:p>
      <w:pPr>
        <w:spacing w:after="0" w:line="7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on-time quality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regulatory compliance;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responsive client service and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and experience in multiple specialized areas;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breadth of service and product offerings across the drug discovery and development spectrum;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breadth of service and product offerings across the manufacturing support spectrum;</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flexible and customized solutions to support our clients’ drug discovery, non-clinical development, and manufacturing support needs;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geographic availability (with consistent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price/value, spend and flexibility;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scientific expertise and efficient drug development processes;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acquire, process, analyze and report data in an accurate manner;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place orders through eCommerce channels;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of client data through secure portals.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do not compete successfully, our business will suffer. Increased competition might lead to price and other concessions that could adversely affect our operating results. Moreover, additional competition may emerge, particularly in lower-cost jurisdictions such as India and China, which could, among other things, result in a decrease in the fees paid for our services, which may adversely affect our results of operations and financial condition. The drug discovery and development services industry has continued to see a trend towards consolidation, particularly among the biotechnology companies, which are targets for each other and for large pharmaceutical companies. If this trend continues, it is likely to produce more competition among the larger companies, with respect to both clients and acquisition candidates. In addition, small, specialized entities considering entering the industries will continue to find lower barriers to entry, and private equity firms may determine that there are opportunities to acquire and consolidate these companies, thus further increasing possible competition. Our competition in the CDMO market includes full-service contract manufacturers and large pharmaceutical companies offering third-party manufacturing services to fill their excess capacity. Also, large pharmaceutical companies have been seeking to divest portions of their manufacturing capacity, and any such divested businesses may compete with us in the future. Furthermore, many of our CDMO competitors may have substantially greater financial, marketing, technical or other resources than we do.</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More generally, our competitors or others might develop technologies, services or products that are more effective or commercially attractive than our current or future technologies, services or products, or that render our technologies, services or products less competitive or obsolete. If competitors introduce superior technologies, services or products and we cannot make enhancements to ours to remain competitive, our competitive position, and in turn our business, revenue and financial condition, would be materially and adversely affected. In the aggregate, these competitive pressures may affect the attractiveness of our technologies, services or products and could adversely affect our financial results.</w:t>
      </w:r>
    </w:p>
    <w:p>
      <w:pPr>
        <w:spacing w:after="0" w:line="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technologies may be developed, validated and increasingly used in biomedical research, which could reduce demand for some of our products and services.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scientific community continues to develop NAMs, which do not involve working with animal models and are designed to increase the translation from findings in early-stage discovery and pre-clinical studies to human studies, and vice-versa. As these methods continue to advance, they may supplement, and in some cases possibly replace or supplant methodologies that are currently in use, such as the use of traditional living animals in biomedical research. For example, in April 2025, the FDA announced its intention to reduce animal testing in preclinical safety studies with NAMs, such as organ-on-a-chip systems, computational modeling, and advanced in vitro assays; in October 2025, the FDA announced its intention to streamline the approval process for biosimilar drug development and indicated further announcements related to reducing animal testing requirements may be forthcoming; and in November 2025, the U.K. government announced a roadmap to phasing out animal testing in favor of alternative methods. In addition, technological improvements, such as imaging and other translational biomarker technologies, could impact demand for animal research models. Further, manufacturers, including Charles River, have recently introduced recombinant versions of LAL, which has been historically derived from live animals. It is our strategy to explore new technologies to refine and potentially reduce the use of animal models and animal derived products as new in vitro and in silico methods become available and synthetically-manufactured products become validated with sufficient data to ensure public safety. For information regarding our efforts to support development and to provide the best translational models to supplement or replace traditional models, see “Our Strategy” included elsewhere in this Form 10-K. However, we may not be able to develop new products, inputs or processes effectively or in a timely manner to replace any lost sales. Lastly, other companies or entities may develop research models, inputs or processes with characteristics different from those that we produce, and that may be viewed as more desirable by some of our clients.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develop and market new services and products.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continue to seek opportunities to develop and market new services and products that complement or expand our existing business or service offerings. We believe our ability to innovate through internal research and development efforts and license or acquire new technologies from third parties are both critical to our ability to continue to meet the needs of our clients. Our ability to gain access to such technologies depends, in part, on our ability to convince innovators that we can successfully develop and commercialize their inventions. We cannot guarantee that we will be able to identify new technologies of interest to our clients. Even if we are able to identify these opportunities, negotiating license agreements on commercially acceptable terms may prove difficult. In addition, our ongoing internal research and development efforts may not always yield offerings that meet client demand. If we are unable to develop new services and products and/or create demand for those newly developed services and products, our future business, results of operations, financial condition and cash flows could be adversely affected.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increasing more rapidly than market prices in certain of our businesses could reduce profitability.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cost of collecting, processing and testing products has risen significantly in recent years and will likely continue to increase given stringency of demands on raw materials. These cost increases are related to new and improved testing procedures, increased regulatory requirements, and higher staff and supply costs, including labor inflation. Competition and fixed price contracts may limit our ability to maintain existing operating margins. Some competitors have greater resources than us to sustain periods of marginally profitable or unprofitable sales. Costs increasing more rapidly than market prices may reduce profitability and may have a material adverse impact on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 Factors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to comply with applicable regulations and related guidance could harm our reputation and operating results, and compliance with new regulations and guidance may result in additional costs.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failure on our part to comply with applicable regulations could result in the termination of ongoing research or the disqualification of data for submission on behalf of our clients to regulatory authorities. This could harm our reputation, our prospects for future work and our operating results. For example, the issuance of a notice of objectionable observations or a warning letter from the FDA based on a finding of a material violation affecting data integrity by us for GLP or cGMP requirements that are not addressed to the regulatory monitoring authorities’ satisfaction could materially and adversely affect us. If our operations are found to violate any applicable law or other governmental regulations, we might be subject to civil and criminal penalties, damages and fines or the temporary closure of our facilities. Any action against us for violation of these laws or regulations, even if we successfully defend against it, could cause us to incur significant legal expenses, divert our management’s attention from the operation of our business and damage our reputation.</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Where applicable, our clients expect us to timely deliver their non-clinical data compliant with the FDA’s SEND (Standardization for Exchange of Nonclinical Data) standards. Notwithstanding, some of these standards require additional operating and capital expenses that will impact not only us and our industry competitors, but clients in the biomedical research community. Non-compliance with any of these expectations could lead to official action by a government authority, damage to our reputation and a potential loss of business.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regulations and guidance worldwide concerning the production and use of research animals for research purposes continue to evolve. Similarly, guidance has been and continues to be developed for other areas that impact the biomedical research community on both a national and international basis including transportation, mandated contingency planning, euthanasia guidance, import and export requirements of biological materials, health monitoring requirements and the use of disinfectants.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Cell Solutions business is subject to complex regulation by federal, state and local governments in the U.S. This business requires us to obtain many licenses, permits, authorizations, accreditations, approvals, and certificates to fully comply with appropriate regulations. Federal, state and local regulations do change, requiring prompt adoption to remain in a constant state of compliance. Changes in the regulations could require us to alter how we operate our business, potentially resulting in a significantly increased cost of compliance.</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donor collection center is registered with the FDA and the FDA periodically conducts inspections of those facilities and operations. At the conclusion of each inspection, the FDA provides us with a list of objectionable conditions and practices observed during the inspection that could result in additional enforcement actions. Failure to comply with the regulations enforced by the FDA could result in sanctions and/or remedies and have a material adverse effect on us.</w:t>
      </w:r>
    </w:p>
    <w:p>
      <w:pPr>
        <w:spacing w:after="0" w:line="6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6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frequently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7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imposes stringent obligations regarding the collection, control, use, sharing, disclosure and other processing of personal data of individuals within the EU and European Economic Area (EEA). EU member states may also impose additional requirements in relation to personal data through their national implementing legislation.</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EU GDPR also imposes specific restrictions on the transfer of personal data to countries outside of the EU and EEA, including the use of appropriate safeguards to enable such transfers, such as Standard Contractual Clauses (SCCs) and the EU-</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US Data Privacy Framework (DPF). Although these mechanisms are currently valid for purposes of transferring personal data, they could be subject to legal challenges and there is no assurance that we could satisfy or rely on these measures to lawfully transfer personal data.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controls and procedures to comply with the requirements of the EU GDPR, such procedures and controls may not be effective in ensuring compliance or preventing unauthorized transfers of personal data.</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we are subject to the privacy and data protection laws of the UK, including the UK Data Protection Act of 2018 (UK GDPR). Similar to the EU GDPR, the UK GDPR imposes restrictions on the processing of personal data, as well as transfers of personal data from the UK to other countries. Failure to comply with the EU and/or the UK GDPR can result in significant fines and other liability.</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Similarly, we are subject to the privacy and data protection laws of China, including the Personal Information Protection Law (PIPL) and Data Security Law (DSL), which promulgated requirements relating to the collection, processing, transfer and security of personal information in or from China. Violations of the PIPL or DSL could result in fines and penalties, suspension of data transfers, cancellation of business authorizations, personal liability for responsible company officers, as well as criminal and civil liability. In the event that the PIPL requires us to store data in China, or limits our ability to transfer data across borders, we may experience increased costs and business inefficiencies. Fines, corrective actions, or other penalties asserted due to alleged noncompliance may impose additional financial or operational costs, limit our ability to attract and retain local talent, or limit our ability to do business in China.</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US, there are numerous federal and state data privacy and security laws, rules, and regulations governing the collection, use, disclosure, retention, security, transfer, storage and other processing of personal information, including federal and state data privacy laws, data breach notification laws, and data disposal laws. For example, at the federal level, we are subject the regulations of the Federal Trade Commission, which has the authority to regulate and enforce against unfair or deceptive acts or practices in or affecting commerce, including acts and practices with respect to data privacy and security. If our public statements about our use, collection, disclosure and other processing of personal information are alleged to be deceptive, unfair or misrepresentative of our actual practices, we may be subject to potential government or legal investigation or action. If we are found to have violated applicable laws or regulations, we may also be subject to penalties, fines, damages, injunctions or other outcomes that may adversely affect our operations and financial results. The United States Congress also has considered, and may in the future consider, various proposals from time to time for comprehensive federal data privacy legislation to which we may become subject if passed and which may adversely affect our operations and financial results.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state level, we are subject to laws and regulations like the California Consumer Privacy Act (CCPA) and the California Privacy Rights Act (CPRA). The CCPA and CPRA create transparency requirements for companies, grant California residents various rights with regard to their personal information, and impose additional data protection obligations on companies doing business in California. Failure to comply with the CCPA and CPRA may result in, among other things, significant civil penalties and injunctive relief, or potential statutory or actual damages. The CCPA and CPRA also provide a private right of action for data breaches that result in the loss of personal information. The CCPA and CPRA may impact our business activities and require compliance costs that adversely affect business, operating results, prospects and financial condition.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while collecting research products from donors, we may collect, use, disclose, maintain and transmit donor information in ways that will be subject to many of the numerous state, federal and international laws and regulations governing the collection, use, disclosure, storage, transmission or confidentiality of patient-identifiable health information.</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made changes to, and investments in, our business practices and will continue to monitor developments and make appropriate changes to help attain compliance with these evolving and complex laws, rules, regulations and standards. Any actual or perceived failure to comply with any such laws, rules, regulations, standards or contractual obligations could subject us to denial of the right to conduct business, significant fines, civil or criminal penalties, costly litigation (including class actions), government investigation or inquiries, enforcement actions, claims, proceedings, judgements, awards, penalties, sanctions or other adverse impacts that could have a material adverse effect on our business.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U.S., state, local or international environmental, health, safety and sustainability laws and regulations, including regulations issued by the Occupational Safety and Health Administration, Environmental Protection Agency, Nuclear Regulatory Agency and Department of Transportation, could result in fines and penalties and loss of licensure, and have a material adverse effect upon the Company’s business.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us to denial of the right to conduct business, fines, criminal penalties and/or other enforcement actions that could have a material adverse effect on our business. Other environmental laws may have similar consequences to us or our supplier, or result in liability to us. In addition, compliance with future legislation could impose additional requirements on us that may be costly.</w:t>
      </w:r>
    </w:p>
    <w:p>
      <w:pPr>
        <w:spacing w:after="0" w:line="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Tax Law, results of tax audits, or material changes in our stock price could have a material adverse impact on our effective tax rate and financial results.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a global company, we are subject to taxation in numerous countries, states, and other jurisdictions. Changes to governmental laws and regulations, or their interpretations, including the adoption of global minimum taxation requirements and potential changes to existing tax law by the current U.S. Presidential administration and Congress, could impact our profits, effective tax rate and cash flows. For example, in July 2025, the U.S. enacted the One Big Beautiful Bill Act ("OBBBA"), which includes several changes to U.S. federal income tax law, including accelerated tax depreciation, expensing of research and development, and the U.S. international inclusions.</w:t>
      </w:r>
    </w:p>
    <w:p>
      <w:pPr>
        <w:spacing w:after="0" w:line="75"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We receive substantial tax credits and incentives in Canada, from both the Canadian federal and Quebec governments, China, France, the U.K., and the U.S. Any reduction in the availability or amount of these tax credits and incentives or outcomes of tax controversies associated with these credits, could have a material adverse effect on our profits, cash flows and effective tax rate. Additionally, we are subject to regular audits with respect to various tax returns and processes in the jurisdictions in which we operate. Errors or omissions in tax returns, process failures, increase to tax rates or differences in interpretation of tax laws by tax authorities may lead to litigation, payments of additional taxes, penalties, and interest.</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regular review and audit by both domestic and foreign tax authorities. As a result, we have received, and may in the future receive, assessments in multiple jurisdictions, on various tax-related assertions. Any adverse outcome of such a review or audit could harm our financial condition and operating results, require adverse changes to our business practices, or subject us to additional litigation and regulatory inquiries. In addition, the determination of our worldwide provision for income taxes and other tax liabilities requires significant judgment and often involves uncertainty. Although we believe our estimates are reasonable, the ultimate tax outcome may differ from the amounts recorded in our financial statements and may affect our financial results in the period or periods for which such determination is made.</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tax expense and liabilities are affected by certain factors, such as changes in our business operations, acquisitions, investments, entry into new businesses and geographies, intercompany transactions, changes in foreign currency exchange rates, changes in our stock price, changes to our forecasts of income and loss and the mix of jurisdictions to which they relate, and changes in our tax assets and liabilities and their valuation.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and clinical contract research services create a risk of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global drug development partner, we face a range of potential liabilities, which may include:</w:t>
      </w:r>
    </w:p>
    <w:p>
      <w:pPr>
        <w:spacing w:after="0" w:line="117" w:lineRule="exact"/>
        <w:rPr>
          <w:sz w:val="20"/>
          <w:szCs w:val="20"/>
          <w:color w:val="auto"/>
        </w:rPr>
      </w:pPr>
    </w:p>
    <w:p>
      <w:pPr>
        <w:ind w:left="660" w:right="4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errors or omissions in reporting of study detail in non-clinical studies that may lead to inaccurate reports, which may undermine the usefulness of a study or data from the study, or which may potentially advance studies absent the necessary support or inhibit studies from proceeding to the next level of testing;</w:t>
      </w:r>
    </w:p>
    <w:p>
      <w:pPr>
        <w:spacing w:after="0" w:line="6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possible failure to properly care for our clients’ property, such as research models and samples, study compounds, records, work in progress, other archived materials or goods and materials in transit, while in our possession;</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models in our breeding facilities or in facilities that we manage may be infected with diseases that may be harmful to them or humans, despite preventive measures for the quarantine and handling of imported animals;</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have errors and omissions and/or product liabilities related to our products designed to conduct lot release testing of medical devices, injectable drugs, food, beverages, and home and beauty products (primarily through our Microbial Solutions business), or in the testing of biologics and other services performed by our Biologics Solutions business, which could result in us or our clients failing to identify unsafe or contaminated materials;</w:t>
      </w:r>
    </w:p>
    <w:p>
      <w:pPr>
        <w:spacing w:after="0" w:line="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transmitting dangerous infectious diseases, as a result of the failure of our screening and testing processes, or new pathogens that may be undetected by such processes; and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1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acquisitions have expanded our business into the CDMO market, which entails additional risks of liability, including potential product liability claims, errors and omissions claims in connection with our services and potential liability under indemnification agreements between us and our officers and directors.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attempt to mitigate these risks through a variety of methods, it is impossible to completely eradicate such risks. In our RMS business, we mitigate these risks to the best of our abilities through our regimen of animal testing, quarantine procedures and veterinary staff vigilance, through which we seek to control the exposure of animal related disease or infections. We attempt to reduce these risks through the negotiation of contractual risk transfer provisions, such as indemnification provisions, limitations of liability, and client insurance requirements.</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Contractual risk transfer indemnifications generally do not protect us against liability arising from certain of our own actions, such as negligence or misconduct. We could be materially and adversely affected if we are required to pay damages or bear the costs of defending any claim that is outside any contractual indemnification provision, or if a party does not fulfill its indemnification obligations or the damage is beyond the scope or level of insurance coverage. We also often contractually indemnify our clients (subject to a limitation of liability), similar to the way they indemnify us, and we may be materially adversely affected if we have to fulfill our indemnity obligations. Furthermore, either we or a party required to indemnify us may not be able to maintain such insurance coverage (either at all or on terms acceptable to us).</w:t>
      </w:r>
    </w:p>
    <w:p>
      <w:pPr>
        <w:spacing w:after="0" w:line="7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obtain, maintain and enforce intellectual property rights and defend against assertions of third parties to intellectual property rights could adversely affect us.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Many of our services, products and processes rely on intellectual property. In some cases, that intellectual property is owned by another party and licensed to us, sometimes exclusively. To protect our intellectual property rights, we primarily rely upon trade secret, patent, trademark, and copyright law, as well as contractual provisions relating to intellectual property ownership and control and confidentiality. Laws relating to intellectual property rights and contracts vary from country to country and are subject to change at any time. In addition, the agreements upon which we rely to protect our intellectual property might be breached, or might not be fully enforceable. Our intellectual property rights might not prevent our competitors from independently developing intellectual property that is similar to or duplicative of ours. Also, enforcement of our intellectual property rights may also require substantial investments of time, money, and oversight, and may not result in success. If we are unable to secure and maintain our intellectual property rights, or if we are unable to prevent misappropriation or infringement, our business could be adversely affected.</w:t>
      </w:r>
    </w:p>
    <w:p>
      <w:pPr>
        <w:spacing w:after="0" w:line="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Furthermore, we respect third-party intellectual property rights, and make efforts to avoid violating valid and enforceable intellectual property rights, and seek to procure and pay for licenses from the holders of intellectual property rights that we seek to use. In some cases, we are asked to utilize components and processes that are provided to us by our clients.</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Customers of our CDMO business, for example, may utilize intellectual property for the production of their products, the manufacture of which has been contracted to us. Failure by us and/or our customers to secure and maintain rights to third-party intellectual property rights could have a material adverse effect, including reduced revenue as a result in a delay or cancellation of the manufacture of products and involvement in judicial and administrative proceedings in which we are named as a party.</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Further, the drug discovery, drug development, and drug manufacturing industry has a history of patent and other intellectual property litigation and these lawsuits will likely continue. This may be exacerbated by the increased use of cell-based and new alternative model methods not involving animal models, which may supplement and/or replace or supplant the use of traditional living animal models in biomedical research. Refer to “Risk Factors –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technologies may be developed, validated and increasingly used in biomedical research, which could reduce demand for some of our products and services</w:t>
      </w:r>
      <w:r>
        <w:rPr>
          <w:rFonts w:ascii="Times New Roman" w:cs="Times New Roman" w:eastAsia="Times New Roman" w:hAnsi="Times New Roman"/>
          <w:sz w:val="18"/>
          <w:szCs w:val="18"/>
          <w:color w:val="auto"/>
        </w:rPr>
        <w:t>.” herein for our assessment of certain other relevant risk factors on this topic. Litigation can be expensive, time consuming, and can divert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attention from other business concerns. If we do not prevail in an infringement lawsuit brought against us, we may be compelled by a court to pay substantial damages, including treble damages, and be ordered to stop the challenged activity, or obtain a license on unnegotiated and/or unfavorable terms.</w:t>
      </w:r>
    </w:p>
    <w:p>
      <w:pPr>
        <w:spacing w:after="0" w:line="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state courts located in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sole and exclusive forum for (1) any derivative action or proceeding brought on behalf of the Company, (2) any action asserting a claim of breach of a fiduciary duty owed by any director, officer or other employee of the Company to the Company or the Company’s stockholders, (3) any action asserting a claim arising pursuant to any provision of the Delaware General Corporation Law or the Company’s certificate of incorporation or the Company’s by-laws (in each case, as they may be amended from time to time), or (4) any action asserting a claim governed by the internal affairs doctrine shall be a state court located within the state of Delaware (or, if no state court located within the State of Delaware has jurisdiction, the federal district court for the District of Delaware). However, this exclusive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forum provision will not apply to suits brought under the federal securities laws for which the federal courts have exclusive jurisdiction. If a court were to find the choice of forum provision contained in our by-laws to be inapplicable or unenforceable in an action, we may incur additional costs associated with resolving such action in other jurisdictions, which could harm our business and financial condition. Furthermore, 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that could adversely affect our business, financial condition, and results of operations.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involved in legal proceedings related to various matters, including securities litigation, and may become involved in other legal proceedings that arise from time to time in the future. For example, as discussed further in Part I, Item 3, Legal Proceedings, a putative securities class action and two derivative securities lawsuits have been filed against the Company, and certain officers and directors, alleging that disclosures about the Company’s practices with respect to the importation of non-human primates were materially false or misleading. We also have been subject to government investigations and civil investigative demands seeking information with respect to alleged violations of law, including as discussed in Part I, Item 3, Legal Proceedings, pertaining to an investigation by the SEC.</w:t>
      </w:r>
    </w:p>
    <w:p>
      <w:pPr>
        <w:spacing w:after="0" w:line="7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Any claims against us, whether meritorious or not, can be time-consuming, result in costly litigation, be harmful to our reputation, require significant management attention, and divert significant resources. In addition, the expense of litigation and the timing of this expense from period to period are difficult to estimate and subject to change. Litigation and other claims are subject to inherent uncertainties and management’s view of these matters may change in the future. Given the uncertain nature of legal proceedings generally, we are not able in all cases to estimate the amount or range of loss that could result from an unfavorable outcome. We could incur judgments or enter into settlements of claims that could have a material adverse effect on our results of operations in any particular period.</w:t>
      </w:r>
    </w:p>
    <w:p>
      <w:pPr>
        <w:spacing w:after="0" w:line="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or changes in national laws or policies to protect or promote domestic interests and/or address foreign competition can have an adverse effect on our business and financial statements.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including laws and policies in areas such as trade, manufacturing, government purchasing, healthcare, intellectual property, regulatory enforcement and investment/development, can adversely affect our business and financial statements. The U.S. has experienced a rapid increase in new government regulations, including tariffs and proposed tariffs on imports from a wide range of markets and geographies, including some in which we operate. These tariffs/proposed tariffs have prompted retaliatory tariffs by a number of countries and a cycle of retaliatory tariffs by both the U.S. and other countries. We continue to monitor the global tariff environment and potential trade conflicts, sanctions and impediments that could impact our business. As of the date of this report a number of tariffs remain in effect, including significant tariffs between the U.S. and countries from which we obtain significant supply, such as Vietnam, Mauritius, Cambodia, and China. Collectively, this may adversely impact our operating margin and results of operations, for example, our costs and expenses related to our business activities and those of our customers and suppliers; demand for our products and our competitive positioning; the availability to us of certain products in certain countries; and our supply chain operations. Though the risks identified above in certain cases have already adversely impacted part of our business, the full impact of these tariffs and other actions on the Company and on our business partners remains highly uncertain and subject to rapid change.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and Employment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and may not be able to retain these employees, which could harm our business.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the continued services of our senior management and other members of management who have skills and industry experience aligned with our strategic objectives. Birgit Girshick, our current COO who will serve as our CEO effective May 5, 2026, has held various positions with us for more than 35 years. For further detail on Ms. Girshick’s employment with the Company, see the Letter Agreement by and between Charles River Laboratories International, Inc. and Birgit Girshick, dated as of January 6, 2026, attached as an exhibit to this Form 10-K. Most members of our senior management do not have employment agreements, except in jurisdictions outside of the United States where employment contracts are common for most employees. If members of senior management do not continue in their present positions, particularly if they do not give reasonable advance notice should they choose to depart from the Company, our business may be adversely impacted.</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hire or retain key team members or a highly skilled global workforce with various backgrounds and experiences, it could have a negative impact on our business, financial condition or results of operations.</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we are highly dependent upon attracting and retaining qualified scientific, technical and managerial personnel. We have a strong record of employee retention, and we strive to reduce the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impact of the potential loss of existing employees by having an established organizational talent review process that identifies successors and potential talent needs. However, there is still significant competition for qualified personnel in the veterinary, pharmaceutical and biotechnology fields. Failure to retain qualified existing personnel and recruit additional key scientific, technical, and managerial personnel in a timely manner, could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availability of, and good relations with, our team members.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employees are not unionized in the U.S. and employees at some of our European facilities are represented by works councils, collective bargaining agreements, employee representative groups and/or unions, which is consistent with local customs for our industry. Our operations depend on the availability and relative costs of labor and maintaining good relations with employees, which includes supporting their overall wellbeing. If we fail to maintain good relations with our team members or with the labor organizations, we may experience labor strikes or work stoppages, which could adversely affect our financial results.</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acknowledge a specific risk associated with periodic reductions in our workforce. As part of our strategic and operational management, we, from time to time, undertake workforce reductions to align with evolving business trends, market dynamics, or operational efficiency goals. Such actions result in incremental severance and benefits costs and replacing lost talent in the future may result in higher costs, all of which could adversely affect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level could adversely affect our business and growth prospects.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27, 2025, we had $2.1 billion of debt and finance leases (debt). Our debt could have significant adverse effects on our business, including making it more difficult for us to obtain additional financing on favorable terms; requiring us to dedicate a substantial portion of our cash flows from operations to the repayment of debt and the interest on this debt; limiting our ability to capitalize on significant business opportunities; making us more vulnerable to rising interest rates, and reducing our flexibility to respond to changing business and economic conditions. Disruption in the financial markets could also have a material adverse effect on our financial position, results of operations and liquidity. For additional information regarding our debt, please see Note 11. Debt and Other Financing Arrangements, included in the notes to our consolidated financial statements included elsewhere in this Form 10-K.</w:t>
      </w:r>
    </w:p>
    <w:p>
      <w:pPr>
        <w:spacing w:after="0" w:line="7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tangible assets and intangible assets (such as goodwill and other intangible assets) may adversely impact future results of operations.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intangible assets, including goodwill, on our balance sheet due to our acquisitions of businesses. The initial identification and valuation of these intangible assets and the determination of the estimated useful lives at the time of acquisition involve use of management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If the future growth and operating results of our business are not as strong as anticipated, overall macroeconomic or industry conditions deteriorate and/or our market capitalization declines, this could impact the assumptions used in establishing the carrying value of goodwill or other intangible assets, as well as long-lived tangible assets, such as property, plant and equipment and operating lease right-of-use assets. Should disruption in the global financial markets and deterioration of economic conditions have a prolonged impact on our industry, triggering events may arise resulting in long-lived tangible asset, intangible asset, or goodwill impairments. To the extent long-lived tangible assets, intangible assets, or goodwill are impaired, their carrying value will be written down to their fair values and a charge will be made to our net income (loss). Such an impairment charge could materially and adversely affect our operating results. As of December 27, 2025, the carrying amount of goodwill and other intangibles on our consolidated balance sheet was $3.1 billion, property, plant and equipment was $1.7 billion, and operating lease right-of-use assets was $361.4 million.</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fourth quarter 2025, we performed the quantitative goodwill impairment test for our reporting units and upon completion, it was determined that the fair value of the Biologics Solutions reporting unit did not exceed its carrying value, resulting in a goodwill impairment charge of $165.0 million. This was primarily attributable to a decline in its operating performance, resulting in a reduction to the long-range financial plan of the reporting unit, and evolving market information in the fourth quarter of 2025. The fair value of the Biologics Solutions reporting unit tested for impairment during 2025 was determined based on a discounted cash flow model (an income approach), and sales and earnings multiples based on the guideline public company method, and other market information (a market approach). The discounted cash flow model used to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determine the fair value of the Biologics Solutions reporting unit reflected significant assumptions related to future revenue, a long term growth rate, operating income margins, and a discount rate based on a weighted-average cost of capital. Significant assumptions used in the market approach included earnings multiples, sales multiples, and other market information about the value of certain asset groups within the reporting unit. The Biologics Solutions reporting unit fair value measurement is classified as Level 3 in the fair value hierarchy because they involve significant unobservable inputs. We will continue to closely monitor future performance and any potential impacts on the value of the reporting unit. If the estimated future cash flows decrease below our current expectations, specifically as a result of lower revenue growth rates or operating income margins, or due to an increase of the weighted-average cost of capital, the fair value may further decrease resulting in an incremental material goodwill impairment.</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Excluding the impairment charge associated with the Biologics Solutions reporting unit, our 2025 annual impairment test indicated that goodwill was not impaired for any other reporting units.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fourth quarter ended December 28, 2024, a triggering event was identified for the Biologics Solutions reporting unit after the annual impairment assessment. This resulted from a loss of key customers, ultimately resulting in a reduction in Biologics Solutions’ long range financial outlook. In response, we conducted a quantitative impairment test for goodwill to determine if the goodwill in the Biologics Solutions reporting unit was impaired. Upon completion of a quantitative impairment test, it was determined that the fair value of the reporting unit was below its carrying value, resulting in a goodwill impairment of approximately $215.0 million.</w:t>
      </w:r>
    </w:p>
    <w:p>
      <w:pPr>
        <w:spacing w:after="0" w:line="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During the fourth quarter ended December 27, 2025, prior to the annual Goodwill Impairment Assessment, a triggering event was identified for the Cell Solutions, CDMO Cell Therapy, and CDMO Gene Therapy asset groups due to a decline in operating performance in fiscal 2025, ultimately resulting in a reduction in the asset groups’ long range financial outlook, and evolving market information about these asset groups identified in the fourth quarter of 2025. Cell Solutions is presented within the RMS reportable segment, while CDMO Cell Therapy and CDMO Gene Therapy are presented within the Manufacturing reportable segment. In response, we conducted a recoverability test for each asset group, based on an estimate of undiscounted future cash flows for various recoverability scenarios, to determine if the asset groups were impaired. Upon completion of the recoverability test, it was determined that the probability-weighted undiscounted cash flows of the CDMO Cell Therapy asset group exceeded its carrying value. The Cell Solutions and CDMO Gene Therapy asset groups probability-weighted undiscounted cash flows did not exceed their carrying value, resulting in an intangible asset impairment charge of approximately $211.0 million and impairment charges of approximately $8.0 million within Property, plant, and equipment, net and Operating lease right-of-use assets.</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ended December 28, 2024, a triggering event was identified for the CDMO Cell Therapy asset group within the Biologics Solutions business, part of the Manufacturing reportable segment, as there was a loss of key customers, resulting in a significant reduction in cash flows. We concluded there were no impairments for the asset group related to this triggering event, however the remaining useful life of the intangible asset within the asset group was reduced to less than 1 year.</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this topic, please see Note 10. Goodwill and Intangible Assets, included in the notes to our consolidated financial statements included elsewhere in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do not expect to pay any cash dividends for the foreseeable future, our shareholders will benefit from an investment in our common stock only if it appreciates in value.</w:t>
      </w:r>
    </w:p>
    <w:p>
      <w:pPr>
        <w:spacing w:after="0" w:line="5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our shareholders should not rely on dividends to receive a return on their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which could negatively affect the market price of our common stock.</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results of operations in any quarter may vary from quarter to quarter and are influenced by the risks discussed above, as well as: changes in the general global economy; changes in the mix of our products and services; changes in government regulation or in practices related to the pharmaceutical or biotechnology industries, including with respect to the use of NAMs; cyclical buying patterns of our clients; the financial performance of our strategic and venture capital investments; certain acquisition-related adjustments, including change in fair value of contingent payments both receivable from or payable to counterparties; and the occasional extra week (“53rd week”) that we recognize in a fiscal year (and fourth fiscal quarter thereof), due to our fiscal year ending on the last Saturday in December. The next fiscal year with a 53rd week is scheduled to occur in 2028. We believe that operating results for any particular quarter are not necessarily a meaningful indication of future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Nonetheless, fluctuations in our quarterly operating results could negatively affect the market price of our common stock.</w:t>
      </w:r>
    </w:p>
    <w:p>
      <w:pPr>
        <w:spacing w:after="0" w:line="1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focus on environmental, social and governance (ESG) matters, including climate-related issues, may impact our business, financial results or stock price.</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has been increasing public focus by investors, clients, environmental activists, the media and governmental and nongovernmental organizations on a variety of ESG matters. If we are not effective in addressing ESG matters affecting our business, or setting and meeting relevant sustainability and climate-related goals, including our approved greenhouse gas emissions reduction targets, which have been approved by the Science Based Targets Initiative, our reputation and financial results may suffer. We may experience increased costs in order to execute upon our sustainability goals and measure achievement of those goals, which could have an adverse impact on our business and financial condition. Heightened stakeholder focus on ESG matters related to our business requires the continuous monitoring of various and evolving laws, regulations, standards and expectations and the associated reporting requirements. In addition, we may face criticism as a result of “anti-ESG” and “anti-DEI” sentiment among certain stakeholders, including governmental authorities, regulators, stockholders and clients. A failure to adequately meet stakeholder expectations may result in noncompliance, the loss of business, reputational impacts, diluted market valuation, an inability to attract clients and an inability to attract and retain top talent. A failure to comply with new laws, regulations, or reporting requirements, could negatively impact our reputation and our business. In addition, our adoption of certain standards or mandated compliance to certain requirements could necessitate additional investments that could impact our profitability.</w:t>
      </w:r>
    </w:p>
    <w:p>
      <w:pPr>
        <w:spacing w:after="0" w:line="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unresolved comments to be reported in response to Item 1B.</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Charles River places high importance on identifying and mitigating potential cybersecurity threats to its employees, customers, IT infrastructure, proprietary technologies and confidential information.</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is based on recognized industry governance frameworks, including the International Organization for Standardization (ISO), the National Institute of Standards and Technology (NIST), the Center for Internet Security Controls (CIS), and the Cloud Security Alliance (CSA). We use these frameworks together with information collected from internal and 3rd party assessments to develop policies such as our technology acceptable use policy for information assets, our access requirements for data, systems, or technologies, and policies for the protection and use of personal information of our employees and customers. We protect our IT assets through industry-standard techniques such as multifactor authentication, malware defenses, network and endpoint monitoring, and access review processes. We also work with our business units to leverage and implement foundational cybersecurity principles, such as security by design, defense-in-depth, least privilege, and resilience-focused backups, throughout our organization. We deliver cybersecurity awareness and confidential information protection training to our employees, and we send our employees ethical simulated phishing and spear-phishing emails to test their compliance with our policies.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engage third parties to conduct annual penetration testing, and we use external risk assessors to measure our program to industry standard frameworks. Our information security management system is certified to the ISO/IEC 27001:2022 and 27017:2018 standards by the British Standards Institution (BSI); certificates IS 780367 and CLOUD 806141, respectively. We also collaborate with experts and industry partners to exchange information about threats, best practices, and trends.</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extends to risks associated with our use of third-party service and technology providers as well as partnerships with third parties we may enter into. For instance, we conduct risk and compliance assessments of third parties that request access to our IT resources and information or who provide technology products or services to Charles River.</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is an important part of our comprehensive business continuity program and enterprise risk management. Our global information security team periodically engages with a cross-functional group of Charles River subject-matter experts and leaders to assess and refine Charles River’s cybersecurity risk posture and preparedness. For example, we regularly evaluate and update contingency strategies for our business in the event that a portion of our IT systems were to be unavailable due to a cybersecurity incident. We practice our response to potential cybersecurity incidents through regular tabletop exercises. We also perform threat hunting and red team exercises.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Through these processes, during our fiscal year 2025 and through the date of this filing we did not identify risks from cybersecurity threats, including as a result of any previous cybersecurity incidents,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undetected cybersecurity incident. For more information about these risks, please see the section titled “Item 1A. Risk Factors – Business and Operational Risk Factors - We have in the past experienced and in the future could experience unauthorized access into our information systems.”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of Cybersecurity Risk Management</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board of directors, as a whole, has oversight responsibility for Charles River’s strategic and operational risks. The Audit Committee of the Board of Directors has been delegated by the Board responsibility by reviewing and discussing Charles River’s risk assessment and risk management practices, including cybersecurity risks, with members of management. The Audit Committee, in turn, periodically discusses its review and assessment with the board of directors.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team is responsible for day-to-day assessment and management of cybersecurity risks. On our management team, our Chief Information Officer has primary oversight of material risks from cybersecurity threats. The Chief Information Officer is Charles River’s Executive Vice President responsible for the Global Technology organization and for information protection at Charles River. The Chief Information Officer has more than 30 years of experience in the field, including serving as the Senior Vice President of Charles River’s Digital Transformation organization, leading the development and implementation of information technology strategies and roadmaps for digital and automation solutions.</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Chief Information Security Officer reports to our Chief Information Officer. Our Chief Information Security Officer has more than 25 years of experience working in information technology-related roles, of which more than 10 years has been in information security leadership, and holds degrees in bio-medical engineering and computer science.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Information Officer and Chief Information Security Officer assess our cybersecurity readiness through internal assessment tools as well as third-party control tests, vulnerability assessments, audits, and evaluation against industry standards. We have governance and compliance structures that are designed to elevate issues relating to cybersecurity to our Chief Information Officer and Chief Information Security Officer, such as potential threats or vulnerabilities. We also employ various defensive and monitoring techniques based on industry frameworks and cybersecurity standards.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Chief Information Officer and our Chief Information Security Officer meet regularly with the full Board, and periodically, but generally at least quarterly, with the Chief Executive Officer, Chief Operations Officer, and Audit Committee to review the company’s information technology systems and discuss key cybersecurity risks. Our Chief Information Security Officer has direct access to the Chair of our Audit Committee and keeps the Audit Committee apprised of any developments that may emerge in between regularly scheduled meetings that require its attention. Additionally, our Incident Response Plan includes escalation protocols to raise occurrences that require attention from the Audit Committee or the board of directors as a whole.</w:t>
      </w:r>
    </w:p>
    <w:p>
      <w:pPr>
        <w:spacing w:after="0" w:line="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Approximately 65% of our real estate portfolio (by area) is owned including all facilities over 200,000 square feet. The remaining facilities are owned or covered by either land or facility leases. Within the DSA business, we own or lease large facilities (greater than 50,000 square feet) in 9 countries including the U.S., Canada, China, France, Hungary, the Netherlands, Cambodia, Mauritius, and the United Kingdom. We own large RMS facilities in Canada, France, the United Kingdom, and the U.S with additional large facilities leased in China and the U.S. Manufacturing is supported in over 10 countries with large, owned properties in the U.S. and Ireland, which are supplemented by additional leased facilities in the U.S., the United Kingdom, France, China, Ireland, and Germany. None of our leases is individually material to our business operations.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Many of our leases have an option to renew and we believe that we will be able to successfully renew expiring leases on satisfactory terms. In each of our reportable segments, we believe that our facilities are adequate for our operations and that suitable additional space will be available when needed. For additional information, see Note 17. Leases included in Item 8, “Financial Statements and Supplementary Data” in this Form 10-K.</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track room utilization on an ongoing basis and, depending on the needs of our clients at given times, we may need to execute on contingency plans for expansion, which average between nine and twenty-four months to complete.</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Specific sites may be expanded to accommodate the business requirements resulting from a targeted consolidation plan. We continue to employ a master site planning strategy to proactively evaluate our real estate needs. Sites and leases added to the portfolio by way of acquisition are integrated into our overall real estate strategy. In situations where the associated real estate is leased, and depending on the resolution of these situations, we may be encumbered with the remaining real estate lease obligations. In certain circumstances, we dispose of or consolidate operations, which could result in impairment charges.</w:t>
      </w:r>
    </w:p>
    <w:p>
      <w:pPr>
        <w:spacing w:after="0" w:line="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May 16, 2023, the Company received an inquiry from the Enforcement Division of the U.S. Securities and Exchange Commission (SEC) requesting it to voluntarily provide information, subsequently augmented with a document subpoena and additional inquiries, primarily related to the sourcing of non-human primates and related disclosures, and the Company cooperated with the requests. The Company’s Audit Committee retained counsel to conduct an independent investigation into</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issues raised in the investigations. On November 14, 2025, the SEC’s Division of Enforcement (Division) notified the Company that it concluded its investigation and, based on the information available to the Division, it does not intend to recommend an enforcement action by the SEC against the Company. Similarly, the Company’s independent investigation into these matters has also concluded, with no material findings.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the plaintiff filed a notice of appeal in the United States Court of Appeals for the First Circuit. Oral arguments took place on May 5, 2025. On August 15, 2025, the U.S. Court of Appeals for the First Circuit reversed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statutory standing, and substitute Oklahoma Firefighters Pension and Retirement System.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a former Chief Financial Officer; and Flavia Pease, a former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12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the New York Stock Exchange on June 23, 2000 under the symbol “CRL.” There were no equity securities that were not registered under the Securities Act of 1933, as amended, sold during fiscal year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24, 2026, there were 62 registered shareholders of the outstanding shares of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our purchases of shares of our common stock during the fourth quarter of fiscal 2025:</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Value of Shares</w:t>
            </w:r>
          </w:p>
        </w:tc>
      </w:tr>
      <w:tr>
        <w:trPr>
          <w:trHeight w:val="176"/>
        </w:trPr>
        <w:tc>
          <w:tcPr>
            <w:tcW w:w="37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6"/>
        </w:trPr>
        <w:tc>
          <w:tcPr>
            <w:tcW w:w="37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37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3"/>
        </w:trPr>
        <w:tc>
          <w:tcPr>
            <w:tcW w:w="3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6"/>
        </w:trPr>
        <w:tc>
          <w:tcPr>
            <w:tcW w:w="3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3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28, 2025 to October 25,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170.69</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549,285</w:t>
            </w:r>
          </w:p>
        </w:tc>
      </w:tr>
      <w:tr>
        <w:trPr>
          <w:trHeight w:val="23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26, 2025 to November 22,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0"/>
                <w:szCs w:val="20"/>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5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23, 2025 to December 27,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176.09</w:t>
            </w:r>
          </w:p>
        </w:tc>
        <w:tc>
          <w:tcPr>
            <w:tcW w:w="10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30"/>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bl>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fiscal year 2025, the Company repurchased 2.1 million shares of common stock for $350.0 million under the prior stock repurchase program. On October 29, 2025, the Company’s Board of Directors approved a new stock repurchase authorization of $1.0 billion. This new authorization replaces the prior stock repurchase authorization of $1.0 billion that had $549.3 million remaining on the plan when it was terminated. As of December 27, 2025, the Company had $1.0 billion remaining on the current authorized stock repurchase program.</w:t>
      </w:r>
    </w:p>
    <w:p>
      <w:pPr>
        <w:spacing w:after="0" w:line="7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5-Year Cumulative Total Return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stock performance graph compares the annual percentage change in the Company’s cumulative total shareholder return on its Common Stock during a period commencing on December 26, 2020 and ending on December 27, 2025 (as measured by dividing (1) the sum of (A) the cumulative amount of dividends for the measurement period, assuming dividend reinvestment, and (B) the difference between the Company’s share price at the end and the beginning of the measurement period; by (2) the share price at the beginning of the measurement period) with the cumulative total return of the S&amp;P 500 Index and the S&amp;P 500 Health Care Index during such period. The Company has not paid any dividends on the Common Stock, and no dividends are included in the representation of the Company’s performance. The stock price performance on the graph below is not necessarily indicative of future price performance. The graph is not “soliciting material,” is not deemed filed with the Securities and Exchange Commission, and is not to be incorporated by reference in any filing of the Company under the Securities Act of 1933 or the Securities Exchange Act of 1934 whether made before or after the date hereof and irrespective of any general incorporation language in any such filing. Information used in the graph was obtained from Standards &amp; Poor’s Institutional Market Services, a source believed to be reliable, but the Company is not responsible for any errors or omissions in such information.</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COMPARISON OF 5-YEAR CUMULATIVE TOTAL RETURN </w:t>
      </w:r>
      <w:r>
        <w:rPr>
          <w:rFonts w:ascii="Times New Roman" w:cs="Times New Roman" w:eastAsia="Times New Roman" w:hAnsi="Times New Roman"/>
          <w:sz w:val="18"/>
          <w:szCs w:val="18"/>
          <w:color w:val="auto"/>
        </w:rPr>
        <w:t>Among Charles River Laboratories International, Inc., The S&amp;P 500 Index and The S&amp;P 500 Health Care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53975</wp:posOffset>
            </wp:positionV>
            <wp:extent cx="5863590"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36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7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6"/>
        </w:trPr>
        <w:tc>
          <w:tcPr>
            <w:tcW w:w="37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7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Charles River Laboratories International, Inc.</w:t>
            </w:r>
          </w:p>
        </w:tc>
        <w:tc>
          <w:tcPr>
            <w:tcW w:w="60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w:t>
            </w:r>
          </w:p>
        </w:tc>
        <w:tc>
          <w:tcPr>
            <w:tcW w:w="6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5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500 Health Care</w:t>
            </w: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bl>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appearing in Item 8, “Financial Statements and Supplementary Data” in this Annual Report on Form 10-K. A discussion of our results of operations for the fiscal year ended December 28, 2024 and a comparison of our results for the fiscal years ended December 28, 2024 and December 30, 2023 was included in Item 7. “Management’s Discussion and Analysis of Financial Condition and Results of Operations,” of our Annual Report on Form 10-K for the fiscal year ended December 28, 2024, filed with the SEC on February 19, 2025. In addition to historical consolidated financial information,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and elsewhere in this Annual Report on Form 10-K. Certain percentage changes may not recalculate due to rounding.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 leading, full service, non-clinical global drug development partner.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 We currently operate in over 120 sites and in over 20 countries worldwide, which numbers exclude certain Insourcing Solutions (IS) sites.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three reportable segments are Research Models and Services (RMS), Discovery and Safety Assessment (DSA), and Manufacturing Solutions (Manufacturing).</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RMS reportable segment includes the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offerings,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which provides controlled, consistent, customized primary cells and blood components derived from normal and mobilized peripheral blood and bone marrow as well as cells from disease state donors.</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Our DSA segment is comprised of Discovery Services and Safety Assessment services. We provide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studies, laboratory support services, including bioanalytical and strategic non-clinical consulting and program management to support product development.</w:t>
      </w:r>
    </w:p>
    <w:p>
      <w:pPr>
        <w:spacing w:after="0" w:line="7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Our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as well as contract development and manufacturing products and services (CDMO).</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 which occurred in fiscal year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Trends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fiscal year 2025, demand from biopharmaceutical clients stabilized and began to show early signs of improvement as clients continued to navigate a challenging and evolving environment. Demand from larger biopharmaceutical clients began to improve early in the year following the prior year’s constrained budgetary spending as a result of restructuring initiatives and reprioritization of their drug development programs. Meanwhile, small and mid-sized biotechnology clients experienced a gradual improvement in funding over the course of fiscal year 2025, particularly in the second half of the year, that led to an improvement in DSA demand trends as we exited the year.</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Despite the current, challenging market environment, many of our pharmaceutical and biotechnology clients continued to benefit from the long-term value of strategic outsourcing to improve their operating efficiency and to access capabilities that they do not maintain internally. Many of our large biopharmaceutical clients have continued to rely on relationships with outsourced partners like Charles River to enhance their drug discovery and early-stage development efforts, and biotechnology companies to assist them in bringing new drugs to market. Because of a continued cautious view with regard to early-stage R&amp;D spending, revenue to both large biopharmaceutical clients and small and mid-sized biotechnology clients declined in fiscal year 2025. However, our ability to continue to deliver our leading suite of research, non-clinical development, and clinical bioanalytical solutions has endeavored our clients to continue to choose to partner with us for our flexible and efficient outsourcing solutions, broad scientific capabilities, and global scale.</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for DSA declined in fiscal year 2025 as demand trends resulted in lower study volumes in both discovery and safety assessment services, driven by both large biopharmaceutical and small and mid-sized biotechnology clients. Despite the revenue declines, DSA demand trends, including net bookings, for large biopharmaceutical clients meaningfully improved in fiscal year 2025 as clients worked through a period of restructuring and pipeline reprioritization. Net bookings from small and mid-sized biotechnology clients showed modest improvement, consistent with improving funding levels later in the year. DSA backlog decreased to $1.9 billion as of December 27, 2025 from $2.0 billion as of December 28, 2024.</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Revenue for RMS increased in fiscal year 2025 due largely to higher revenue from large research models and increased pricing for small research models. Additionally, revenue from research model services improved modestly driven by the IS and GEMS businesses. Despite pressures from early-stage biotechnology and government funding in North America, as well as a focus on alternative methodologies, we are confident that research models and services will remain essential tools for our clients’ drug discovery and early-stage development efforts.</w:t>
      </w:r>
    </w:p>
    <w:p>
      <w:pPr>
        <w:spacing w:after="0" w:line="7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Within the Manufacturing segment, the Microbial Solutions business saw robust growth benefitting from strong demand across the comprehensive manufacturing quality-control testing portfolio, including Accugenix® microbial identification services, led by increased Axxess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instrument placements; share gains for our Endosafe® endotoxin testing platform; and higher sales of Celsis® microbial detection products. Biologics Testing was impacted by lower sample volumes from both biopharmaceutical and CDMO clients, particularly several large clients facing project delays or regulatory challenges. The CDMO business was challenged due to lower commercial revenue in fiscal year 2025, including a relationship with one commercial cell therapy client that ended during the year.</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response to recent trends, we continue to implement cost savings initiatives focused on driving greater efficiencies, as well as restructuring actions that have been implemented over the past three years that were focused on workforce right-sizing and site optimization. More recently, additional efficiency initiatives have targeted incremental savings through process improvement, procurement synergies, and implementation of a global business services model. Collectively, these actions are expected to generate approximately $300 million in cumulative, annualized cost savings by the end of 2026, of which more than $175 million benefitted fiscal 2025. Workforce right-sizing actions resulted in severance and transition costs while costs related to the consolidation of facilities to optimize our global footprint and drive greater operating efficiency across the company resulted in asset impairments, accelerated depreciation, and other site consolidation charges. We incurred restructuring charges of $99.8 million and $107.0 million during the fiscal years 2025 and 2024, respectively.</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fiscal 2025, we announced as part of our Board of Directors’ comprehensive strategic review of our business and growth prospects, that we will focus on strategic initiatives to strengthen our leading scientific portfolio within our core markets through strategic acquisitions, partnerships, internal investments, and divestments of certain non-core assets, which represent approximately 7% of our 2025 revenue.</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Despite the near-term market pressures that led to a modest revenue decline in fiscal year 2025, we believe clients will continue to benefit from the long-term value of strategic outsourcing to improve their operating efficiency and to access capabilities that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they do not maintain internally. We believe that our comprehensive scientific capabilities and global scale, as well as the breadth and depth of our scientific expertise, quality, and responsiveness remain key criteria when our clients make the decision to outsource to us. As the scientific partner of choice to accelerate biomedical research, we are committed to driving greater efficiency and speed while providing exceptional service to our clients.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make strategic acquisitions designed to expand our portfolio of products and services to support the drug discovery and development continuum. We maintain an acquisition strategy that focuses on augmenting internal growth of existing businesses with complementary acquisitions. Our recent transactions are described below.</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9, 2026, we announced we have exercised our option to acquire the remaining 79% equity interest in PathoQuest SAS (PathoQuest) for €51.6 million (or approximately $60 million based on current exchange rates), subject to customary closing adjustments. PathoQuest is a provider of next-generation sequencing solutions for manufacturing quality-control testing for biopharmaceutical companies. The proposed transaction is expected to close in the first quarter of 2026. The acquisition is expected to be funded through a combination of available cash and proceeds from our Credit Facility. This business will be reported as part of our Manufacturing reportable segment.</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14, 2026, we completed the acquisition of certain assets of K.F. (Cambodia) Ltd (KF)., a leading supplier of non-human primates (NHPs) located in Cambodia. The purchase price of KF was $510.0 million, of which $335.0 million was paid up-front, with the remaining $175.0 million deferred until the completion of certain post-close conditions. The acquisition was funded through a combination of available cash and proceeds from our Credit Facility. This business will be reported as part of our DSA reportable segment for NHPs vertically integrated into the DSA supply chain and the RMS reportable segment for those NHPs sold to third party customers.</w:t>
      </w:r>
    </w:p>
    <w:p>
      <w:pPr>
        <w:spacing w:after="0" w:line="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November 30, 2023, we completed our acquisition of an additional 41% equity interest of Noveprim Group (Noveprim), a leading supplier of NHPs located in Mauritius, resulting in a 90% controlling interest. We had previously acquired a 49% equity interest in 2022 for $90.0 million plus additional contingent payments up to $5.0 million based on future performance. The total consideration allocable to the Noveprim acquisition is $392.4 million, which includes $144.6 million additional cash paid for the 41% equity interest, elimination of historical activity and intercompany balances of</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$209.5 million which includes a remeasurement gain on the 49% equity investment of $113.0 million, contingent consideration of $33.3 million, deferred purchase price of $12.0 million payable from 2024 through 2027, offset by estimated post-closing adjustments for working capital of $7.0 million. The acquisition was funded through a combination of available cash and proceeds from our Credit Facility. This business is reported as part of our DSA reportable segment for NHPs vertically integrated into the DSA supply chain and the RMS reportable segment for those NHPs sold to third party customers.</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27, 2023, we acquired SAMDI Tech, Inc., (SAMDI), a leading provider of high-quality, label-free high-throughput screening (HTS) solutions for drug discovery research. The acquisition of SAMDI will provide clients with seamless access to the premier, label-free HTS MS platform and create a comprehensive, library of drug discovery solutions. The purchase price of SAMDI was $62.8 million, net of $0.4 million in cash, inclusive of a 20% strategic equity interest previously owned by us of $12.6 million. The acquisition was funded through a combination of available cash and proceeds from our Credit Facility. This business is reported as part of our DSA reportable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Investigations into Non-Human Primate Supply Chain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17, 2023, we received a grand jury subpoena requesting certain documents related to an investigation by the U.S. Department of Justice (DOJ) and the U.S. Fish and Wildlife Service (USFWS) into our conduct regarding several shipments of non-human primates from Cambodia in late 2022 and early 2023 (the NHP Shipments). The DOJ also undertook a parallel civil investigation related to the NHP Shipments. Due to a number of factors, including the age of these NHP’s, during the fourth quarter of fiscal year 2024, we recorded a charge of $27 million to costs of products sold within the accompanying consolidated statements of income (loss) to reflect the reduction in carrying value of this inventory to zero. In July 2025, we were informed that USFWS had determined to clear the NHP Shipments for legal entry into the United States. Furthermore, in August 2025 we were advised by the DOJ that both the grand jury investigation and the parallel civil investigation had been closed.</w:t>
      </w:r>
    </w:p>
    <w:p>
      <w:pPr>
        <w:spacing w:after="0" w:line="81"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On May 16, 2023, we received an inquiry from the Enforcement Division of the U.S. Securities and Exchange Commission (SEC) requesting us to voluntarily provide information, subsequently augmented with a document subpoena and additional inquiries, primarily related to the sourcing of non-human primates and related disclosures, and we cooperated with the requests. Our Audit Committee retained counsel to conduct an independent investigation into certain issues raised in the investigations. On November 14, 2025, the SEC’s Division of Enforcement (Division) notified us that it concluded its investigation and, based on the information available to the Division, it does not intend to recommend an enforcement action by the SEC against the Company. Similarly, the Company’s independent investigation into these matters has also concluded, with no material findings.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United States (U.S.). The preparation of these financial statements requires us to make certain estimates and assumptions that may affect the reported amounts of assets and liabilities, the reported amounts of revenues and expenses during the reported periods and related disclosures. These estimates and 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 Our significant accounting policies are more fully described in Note 1, “Description of Business and Summary of Significant Accounting Policies”, to our consolidated financial statements contained in Item 8, “Financial Statements and Supplementary Data” in this Annual Report on Form 10-K.</w:t>
      </w:r>
    </w:p>
    <w:p>
      <w:pPr>
        <w:spacing w:after="0" w:line="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An accounting policy is deemed to be critical if the nature of the estimates or assumptions is material due to the levels of subjectivity and judgment necessary to account for highly uncertain matters or the susceptibility of such matters to change, and the impact of the estimates and assumptions on our consolidated financial statements is or may be material. We believe the following represent our critical accounting policies and estimates used in the preparation of our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obligations under the terms of a contract are satisfied, which occurs when control of the promised products or services is transferred to customers. Revenue is measured as the amount of consideration we expect to receive in exchange for transferring products or services to a customer (“transaction price”).</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the extent the transaction price includes variable consideration, we estimate the amount of variable consideration that should be included in the transaction price utilizing the amount to which we expect to be entitled.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Sales, value add, and other taxes collected on behalf of third parties are excluded from revenue.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Generally, we do not extend payment terms beyond one year. Applying the practical expedient, we do not assess whether a significant financing component exists if the period between when we perform our obligations under the contract and when the customer pays is one year or less. Our contracts do not generally contain significant financing components.</w:t>
      </w:r>
    </w:p>
    <w:p>
      <w:pPr>
        <w:spacing w:after="0" w:line="7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We determine standalone selling prices based on the price at which the performance obligation is sold separately. If the standalone selling price is not observable through past transactions, we estimate the standalone selling price taking into account available information such as market conditions and internally approved pricing guidelines related to the performance obligations.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Product revenue is generally recognized when the customer obtains control of our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we generally measure our progress using either cost-to-cost (input method) or right-to-invoice (output method). We use the cost-to-cost measure of progress when it best depicts the transfer of value to the customer which occurs as we incur costs on our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discrete service or time-based increments, such as samples tested or labor hours incurred. Revenue is recorded in the amount invoiced since that amount corresponds directly to the value of our performance to date. During fiscal year 2025, $2.4 billion, or approximately 60%, of our total revenue recognized is DSA service and product revenue transferred over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assumptions and estimates in determining the fair value of assets acquired and liabilities assumed in a business combination. The determination of the fair value of intangible assets (including goodwill) and certain biological assets, which represented a significant portion of the purchase price in prior acquisitions, requires the use of significant judgment with regard to (i) the fair value; and (ii) whether such assets are amortizable or non-amortizable and, if the former, the period and the method by which the asset will be amortized. We utilize commonly accepted valuation techniques, such as the income, cost and market approaches, as appropriate, in establishing the fair value of these assets. Typically, key assumptions include projections of cash flows that arise from these assets of acquired businesses as well as discount rates based on an analysis of the weighted average cost of capital, adjusted for specific risks associated with the assets.</w:t>
      </w:r>
    </w:p>
    <w:p>
      <w:pPr>
        <w:spacing w:after="0" w:line="8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our prior acquisitions, customer relationship intangible assets (also referred to as client relationships) and certain biological assets have been the most significant identifiable assets acquired. To determine the fair value of the acquired client relationships and biological assets, we utilized the multiple period excess earnings model (a commonly accepted valuation technique), which includes the following key assumptions: projections of cash flows from the acquired entities, which included future revenue, cost of revenue, operating income margins, customer attrition rates, productivity rates; as well as discount rates based on a market participant’s weighted average cost of capital. During fiscal years 2025 and 2024, we did not enter into any business combinations.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evaluate goodwill for impairment annually, during the fourth quarter, and when events occur or circumstances change that may reduce the fair value of the asset below its carrying amount. Events or circumstances that might require an interim evaluation include, but are not limited to, unexpected adverse business conditions, economic factors, unanticipated technological changes or competitive activities, loss of key customers or personnel, and acts by governments and courts. Estimates of future cash flows require assumptions related to revenue and operating income growth, asset-related expenditures, working capital levels and other factors. Different assumptions from those made in our analysis could materially affect projected cash flows and our evaluation of goodwill for impairment.</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perform the quantitative impairment test where we compare the fair value of our reporting units to their carrying values. If the carrying values of the net assets assigned to the reporting units exceed the fair values of the reporting units, then we would record an impairment loss equal to the difference. In fiscal years 2025 and 2024 we performed the quantitative goodwill impairment test for our reporting units. Fair value was determined by using a weighted combination of a market-based approach and an income approach, as this combination was deemed to be the most indicative of our fair value in an orderly transaction between market participants. Under the market-based approach, we utilized information about our company as well as publicly available industry information to determine earnings multiples and sales multiples that are used to value our reporting units. Under the income approach, we determined fair value based on the estimated future cash flows of each reporting unit, discounted by an estimated weighted-average cost of capital, which reflects the overall level of inherent risk of the reporting unit and the rate of return an outside investor would expect to earn.</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fourth quarter ended December 27, 2025, we performed the quantitative goodwill impairment test for our reporting units and upon completion, it was determined that the fair value of the Biologics Solutions reporting unit did not exceed its carrying value, resulting in a goodwill impairment charge of $165.0 million. This was primarily attributable to a decline in its operating performance, resulting in a reduction to the long-range financial plan of the reporting unit, and evolving market information in the fourth quarter of 2025. The fair value of the Biologics Solutions reporting unit tested for impairment during 2025 was determined using a weighted combination of a discounted cash flow model (an income approach), and sales and earnings multiples based on the guideline public company method, and other market information (a market approach). The discounted cash flow model used to determine the fair value of the Biologics Solutions reporting unit reflected significant assumptions related to future revenue, a long term growth rate, operating income margins, and a discount rate based on a weighted-average cost of capital. Significant assumptions used in the market approach included earnings multiples, sales multiples, and other market information about the value of certain asset groups within the reporting unit. The Biologics Solutions reporting unit fair value measurement is classified as Level 3 in the fair value hierarchy because they involve significant unobservable inputs. We will continue to closely monitor future performance and any potential impacts on the value of the reporting unit. If the estimated future cash flows decrease below our current expectations, specifically as a result of lower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revenue growth rates or operating income margins, or due to an increase of the weighted-average cost of capital, the fair value may further decrease resulting in an incremental material goodwill impairment.</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Excluding the impairment charge associated with the Biologics Solutions reporting unit, our 2025 annual impairment test indicated that goodwill was not impaired for any other reporting units.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fourth quarter ended December 28, 2024, a triggering event was identified for the Biologics Solutions reporting unit after the annual impairment assessment. This resulted from a loss of key customers, ultimately resulting in a reduction in Biologics Solutions’ long range financial outlook. In response, we conducted a quantitative impairment test for goodwill to determine if the goodwill in the Biologics Solutions reporting unit was impaired. The fair value of the Biologics Solutions reporting unit tested for impairment during 2024 was determined based on a discounted cash flow model (an income approach) and earnings multiples (a market approach) based on the guideline public company method. Significant assumptions used in the determination of fair value of the Biologics Solutions reporting unit generally include forecasted cash flows, discount rates, terminal growth rates and earnings multiples. The discounted cash flow model used to determine the fair value of the Biologics Solutions reporting unit as of the impairment triggering date reflected assumptions related to revenue growth rates, operating income margins, discount rate and terminal growth rate. The Biologics Solutions reporting unit fair value measurement is classified as Level 3 in the fair value hierarchy because they involve significant unobservable inputs. Upon completion of a quantitative impairment test, it was determined that the fair value of the reporting unit was below its carrying value, resulting in a goodwill impairment of approximately $215.0 million.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third quarter ended September 28, 2024, a triggering event was identified for the Discovery Services reporting unit (part of the DSA reportable segment). This resulted from a continuous decline in market conditions and operational challenges, ultimately resulting in a reduction of Discovery Services’ long range financial outlook. In response, we conducted a quantitative impairment test for goodwill to determine if the goodwill in the Discovery Services reporting unit was impaired. Upon completion of a quantitative impairment test, it was determined that the fair value of the reporting unit exceeded its carrying value by approximately 22%, and no impairment was recognized as of September 28, 2024. As of the annual impairment test date, the fair value of the reporting unit exceeded its carrying value by approximately 16% and no impairment was recognized as of December 28, 2024. As of the beginning of fiscal year 2025, the Discovery Services and Safety Assessment reporting units have been combined into a single reporting unit consistent with recent changes to the DSA integrated operating structure.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2024 annual impairment test indicated that goodwill was not impaired for any other reporting units.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of Long-Lived Assets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Long-lived assets to be held and used, principally definite-lived intangible assets, biological assets, right-of-use lease assets, and property, plant, and equipment, are reviewed for impairment whenever events or changes in circumstances indicate that the carrying amount of the assets or asset group may not be recoverable. Factors we consider important that could trigger an impairment review include, but are not limited to, the following:</w:t>
      </w:r>
    </w:p>
    <w:p>
      <w:pPr>
        <w:spacing w:after="0" w:line="68"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strategy or operations that negatively affect the utilization of our long-lived assets.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Determination of recoverability is based on an estimate of undiscounted future cash flows resulting from the use or sale of the asset or asset group, net of any sublease income, if applicable, and its eventual disposition. In the event that such cash flows are not expected to be sufficient to recover the carrying amount of the assets, the assets are written-down to their fair values. We measure any impairment based on a projected discounted cash flow method using a discount rate determined by management to be commensurate with the risk inherent in our current business model. Significant judgments are required to estimate future cash flows, including the selection of appropriate discount rates and other assumptions. We may also estimate fair value based on market prices for similar assets, as appropriate. Changes in these estimates and assumptions could materially affect the determination of fair value for these assets. Actual cash flows arising from a particular long-lived asset could vary from projected cash flows which could imply different carrying values from those established at the dates of acquisition and which could result in impairment of such asset.</w:t>
      </w:r>
    </w:p>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fourth quarter ended December 27, 2025, prior to the annual Goodwill Impairment Assessment, a triggering event was identified for the Cell Solutions, CDMO Cell Therapy, and CDMO Gene Therapy asset groups due to a decline in operating performance in fiscal 2025, ultimately resulting in a reduction in the asset groups’ long range financial outlook, and evolving market information about these asset groups identified in the fourth quarter of 2025. Cell Solutions is presented within the RMS reportable segment, while CDMO Cell Therapy and CDMO Gene Therapy are presented within the Manufacturing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reportable segment. In response, we conducted a recoverability test for each asset group, based on an estimate of undiscounted future cash flows for various recoverability scenarios, to determine if the asset groups were impaired. Upon completion of the recoverability test, it was determined that the probability-weighted undiscounted cash flow of the CDMO Cell Therapy asset group exceeded its carrying value. The Cell Solutions and CDMO Gene Therapy asset groups probability-weighted undiscounted cash flows did not exceed their carrying values, resulting in an intangible asset impairment charge of approximately $211.0 million. Additionally, we recorded impairment charges of approximately $8.0 million to Property, plant, and equipment, net and Operating lease right-of-use assets, net, recognized in our consolidated statements of income (loss) as a component of selling, general and administrative expenses. The fair value of the Cell Solutions and CDMO Gene Therapy asset groups was determined using a market approach by using other market information about the value of these asset groups.</w:t>
      </w:r>
    </w:p>
    <w:p>
      <w:pPr>
        <w:spacing w:after="0" w:line="8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fiscal 2024, a triggering event was identified for the CDMO Cell Therapy asset group within the Biologics Solutions business, part of the Manufacturing reportable segment, as there was a loss of key customers, resulting in a significant reduction in cash flows. We concluded there were no impairments for the asset group related to this triggering event, however the remaining useful life of the intangible asset within the asset group was reduced to less than 1 year.</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result of the decrease in the remaining useful life, $9.4 million of accelerated amortization was recognized within the accompanying consolidated statements of income (loss) for fiscal year 2024. The remaining value of these client relationships was $75.9 million and was amortized over the remaining useful life of approximately 6 months in fiscal year 2025.</w:t>
      </w:r>
    </w:p>
    <w:p>
      <w:pPr>
        <w:spacing w:after="0" w:line="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Long-lived asset impairments, inclusive of the intangible assets charge described above, recognized during fiscal years 2025 and 2024 were $259.1 million and $51.8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valuation allowance was $323.3 million as of December 27, 2025. In the event actual results differ from our estimates, we will adjust our estimates in future periods and may establish additional allowances or reversals as necessary.</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controversy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re-examine the related tax position. We also accrue for potential interest and penalties related to unrecognized tax benefits in income tax expense.</w:t>
      </w:r>
    </w:p>
    <w:p>
      <w:pPr>
        <w:spacing w:after="0" w:line="8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generally receive a tax deduction upon the exercise of non-qualified stock options by employees, or the vesting of restricted stock and performance share units held by employees. The stock price, timing, and amount of vesting and exercising of stock-based compensation could materially impact our current tax expense.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global operations make the effective tax rate sensitive to significant tax law changes. Several countries have begun to enact legislation to implement the Organization for Economic Cooperation and Development’s (OECD) international tax framework, including the Pillar II global minimum tax regime with effect from January 1, 2024 or later. In addition, the U.S. enacted the One Big Beautiful Bill on July 4, 2025 with effect from January 1, 2025, for which much guidance is still expected. We are currently monitoring these developments and believe we have appropriately reflected any current or deferred financial statement impact, which we do not believe to be material.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refer to Note 1, “Description of Business and Summary of Significant Accounting Policies” to our consolidated financial statements contained in Item 8, “Financial Statements and Supplementary Data,” in this Annual Report on Form 10-K.</w:t>
      </w: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54" w:name="page55"/>
    <w:bookmarkEnd w:id="5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 and Liquidity</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 for fiscal year 2025 was $4.02 billion compared to $4.05 billion in fiscal year 2024. The decrease of $34.6 million, or 0.9% as compared to fiscal year 2024 was primarily due to our DSA business, which continued to experience lower volume driven by more cautious client spending as a result of the biopharmaceutical demand environment; partially offset by higher revenue in our RMS business, primarily driven by the increase in large research model product revenue when compared to fiscal year 2024.</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fiscal year 2025, our operating income and operating income margin were $25.2 million and 0.6%, respectively, compared with $227.3 million and 5.6%, respectively, in fiscal year 2024. The decrease in operating income and operating income margin for fiscal year 2025 was primarily due to the intangible asset impairment charges within our Manufacturing and RMS businesses, the acceleration of amortization expense recognized as a result of a decrease in the remaining useful life of certain CDMO client relationships due to a loss of key customers, and the revenue impacts described above; partially offset by a decrease in charges related to goodwill impairments within our Manufacturing business, lower severance costs and the absence of an inventory charge incurred in connection with the investigations by the U.S. government into the non-human primate supply chain in fiscal year 2024.</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loss available to Charles River Laboratories International Inc, common shareholders was $144.3 million in fiscal year 2025, compared to Net income available to Charles River Laboratories International Inc, common shareholders of $10.3 million in the corresponding period of fiscal year 2024. The decrease of $154.6 million was due principally to the decrease in operating income described above; partially offset by a decline in income tax and interest expenses.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year 2025, our cash flows from operations was $737.6 million compared with $734.6 million for fiscal year 2024. The increase in net cash provided by operating activities was primarily due to lower payments of variable compensation, benefiting cash provided by operations by approximately $79 million, our revenue related accounts, including collections on trade receivables, deferred revenue, and customer deposits; benefiting cash provided by operations by approximately $12 million; partially offset by higher purchases of inventory of $49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consolidated revenue by type and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5"/>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4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3,250,099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3,304,138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rPr>
              <w:t>(54,039)</w:t>
            </w:r>
          </w:p>
        </w:tc>
        <w:tc>
          <w:tcPr>
            <w:tcW w:w="1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765,283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745,851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841"/>
              <w:spacing w:after="0"/>
              <w:rPr>
                <w:sz w:val="20"/>
                <w:szCs w:val="20"/>
                <w:color w:val="auto"/>
              </w:rPr>
            </w:pPr>
            <w:r>
              <w:rPr>
                <w:rFonts w:ascii="Times New Roman" w:cs="Times New Roman" w:eastAsia="Times New Roman" w:hAnsi="Times New Roman"/>
                <w:sz w:val="16"/>
                <w:szCs w:val="16"/>
                <w:color w:val="auto"/>
              </w:rPr>
              <w:t>19,432</w:t>
            </w:r>
          </w:p>
        </w:tc>
        <w:tc>
          <w:tcPr>
            <w:tcW w:w="13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4,015,382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4,049,989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gridSpan w:val="2"/>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rPr>
              <w:t>(34,607)</w:t>
            </w:r>
          </w:p>
        </w:tc>
        <w:tc>
          <w:tcPr>
            <w:tcW w:w="13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gridSpan w:val="7"/>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829,377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16,705</w:t>
            </w: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2.0 %</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3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2,402,891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2,451,280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(48,389)</w:t>
            </w:r>
          </w:p>
        </w:tc>
        <w:tc>
          <w:tcPr>
            <w:tcW w:w="480" w:type="dxa"/>
            <w:vAlign w:val="bottom"/>
          </w:tcPr>
          <w:p>
            <w:pPr>
              <w:spacing w:after="0"/>
              <w:rPr>
                <w:sz w:val="20"/>
                <w:szCs w:val="20"/>
                <w:color w:val="auto"/>
              </w:rPr>
            </w:pPr>
          </w:p>
        </w:tc>
        <w:tc>
          <w:tcPr>
            <w:tcW w:w="13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5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766,409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769,332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4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(0.4)%</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37"/>
        </w:trPr>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4,015,382</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4,049,989</w:t>
            </w:r>
          </w:p>
        </w:tc>
        <w:tc>
          <w:tcPr>
            <w:tcW w:w="10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(34,607)</w:t>
            </w:r>
          </w:p>
        </w:tc>
        <w:tc>
          <w:tcPr>
            <w:tcW w:w="480" w:type="dxa"/>
            <w:vAlign w:val="bottom"/>
          </w:tcPr>
          <w:p>
            <w:pPr>
              <w:spacing w:after="0"/>
              <w:rPr>
                <w:sz w:val="20"/>
                <w:szCs w:val="20"/>
                <w:color w:val="auto"/>
              </w:rPr>
            </w:pPr>
          </w:p>
        </w:tc>
        <w:tc>
          <w:tcPr>
            <w:tcW w:w="13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Segment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income (loss)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4"/>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44,567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114,411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360" w:type="dxa"/>
            <w:vAlign w:val="bottom"/>
          </w:tcPr>
          <w:p>
            <w:pPr>
              <w:spacing w:after="0"/>
              <w:rPr>
                <w:sz w:val="20"/>
                <w:szCs w:val="20"/>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424,555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442,510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(184,284)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(71,453)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157.9 %</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(259,676)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68"/>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25,162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227,347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(202,185)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(500) bps</w:t>
            </w: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and discusses our consolidated financial results by each of our reportable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5"/>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846,082</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829,377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2"/>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amortization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340" w:type="dxa"/>
            <w:vAlign w:val="bottom"/>
          </w:tcPr>
          <w:p>
            <w:pPr>
              <w:spacing w:after="0"/>
              <w:rPr>
                <w:sz w:val="20"/>
                <w:szCs w:val="20"/>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576,250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580,491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420" w:type="dxa"/>
            <w:vAlign w:val="bottom"/>
          </w:tcPr>
          <w:p>
            <w:pPr>
              <w:spacing w:after="0"/>
              <w:rPr>
                <w:sz w:val="20"/>
                <w:szCs w:val="20"/>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101,529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110,982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20"/>
                <w:szCs w:val="20"/>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21,736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23,493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420" w:type="dxa"/>
            <w:vAlign w:val="bottom"/>
          </w:tcPr>
          <w:p>
            <w:pPr>
              <w:spacing w:after="0"/>
              <w:rPr>
                <w:sz w:val="20"/>
                <w:szCs w:val="20"/>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102,000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102,000</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44,567</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114,411</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(69,844)</w:t>
            </w:r>
          </w:p>
        </w:tc>
        <w:tc>
          <w:tcPr>
            <w:tcW w:w="420" w:type="dxa"/>
            <w:vAlign w:val="bottom"/>
          </w:tcPr>
          <w:p>
            <w:pPr>
              <w:spacing w:after="0"/>
              <w:rPr>
                <w:sz w:val="20"/>
                <w:szCs w:val="20"/>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(61.0)%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(850) bps</w:t>
            </w: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RMS revenue increased $16.7 million primarily driven by an increase in large research model product revenue, an increase in small research model revenue in China and Europe, an increase in Insourcing Solutions services revenue, and the effect of changes in foreign currency exchange rates; partially offset by lower Cell Solutions product revenue.</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RMS operating income decreased $69.8 million compared to fiscal year 2024. RMS operating income as a percentage of revenue for fiscal year 2025 was 5.3%, a decrease of 850 bps from 13.8% for fiscal year 2024. Operating income and operating income as a percentage of revenue decreased primarily due to a $102.0 million intangible asset impairment charge within the Cell Solutions asset group; partially offset by a decrease in restructuring activities, primarily related to asset impairment charges, and the increase from the revenue drivers described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DSA</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5"/>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2,402,891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2,451,280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(48,389)</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amortization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360" w:type="dxa"/>
            <w:vAlign w:val="bottom"/>
          </w:tcPr>
          <w:p>
            <w:pPr>
              <w:spacing w:after="0"/>
              <w:rPr>
                <w:sz w:val="19"/>
                <w:szCs w:val="19"/>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1,686,017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1,697,166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420" w:type="dxa"/>
            <w:vAlign w:val="bottom"/>
          </w:tcPr>
          <w:p>
            <w:pPr>
              <w:spacing w:after="0"/>
              <w:rPr>
                <w:sz w:val="19"/>
                <w:szCs w:val="19"/>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239,767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249,097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52,552</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62,507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(9,955)</w:t>
            </w:r>
          </w:p>
        </w:tc>
        <w:tc>
          <w:tcPr>
            <w:tcW w:w="4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(15.9)%</w:t>
            </w:r>
          </w:p>
        </w:tc>
        <w:tc>
          <w:tcPr>
            <w:tcW w:w="13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424,555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442,510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 bps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DSA revenue decreased $48.4 million primarily due to lower volume driven by continued cautious client spending as a result of the current demand environment, partially offset by the effect of changes in foreign currency exchange rates.</w:t>
      </w:r>
    </w:p>
    <w:p>
      <w:pPr>
        <w:spacing w:after="0" w:line="5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DSA operating income decreased $18.0 million compared to fiscal year 2024. DSA operating income as a percentage of revenue for fiscal year 2025 was 17.7%, a decrease of 40 bps from 18.1% for fiscal year 2024. Operating income and operating income as a percentage of revenue decreased primarily due to the lower revenue described above, increased restructuring activities, including asset impairments and site consolidation charges; partially offset by the absence of the inventory charge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incurred in connection with the investigations by the U.S. government into the NHP supply chain and lower severance costs as compared to the corresponding period in fiscal year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3"/>
                <w:szCs w:val="3"/>
                <w:color w:val="auto"/>
              </w:rPr>
            </w:pP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gridSpan w:val="5"/>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766,409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769,332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4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amortization</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360" w:type="dxa"/>
            <w:vAlign w:val="bottom"/>
          </w:tcPr>
          <w:p>
            <w:pPr>
              <w:spacing w:after="0"/>
              <w:rPr>
                <w:sz w:val="20"/>
                <w:szCs w:val="20"/>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429,840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440,511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440" w:type="dxa"/>
            <w:vAlign w:val="bottom"/>
          </w:tcPr>
          <w:p>
            <w:pPr>
              <w:spacing w:after="0"/>
              <w:rPr>
                <w:sz w:val="20"/>
                <w:szCs w:val="20"/>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(2.4) %</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142,101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132,803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20"/>
                <w:szCs w:val="20"/>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104,778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52,471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52,307</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108,974</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108,974</w:t>
            </w:r>
          </w:p>
        </w:tc>
        <w:tc>
          <w:tcPr>
            <w:tcW w:w="4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165,000</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(23.3) %</w:t>
            </w:r>
          </w:p>
        </w:tc>
        <w:tc>
          <w:tcPr>
            <w:tcW w:w="13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(184,284)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(71,453)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(112,831)</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loss % of revenue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(1,470) bps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Manufacturing revenue decreased $2.9 million primarily due to decreased revenue in our Biologics Solutions business, driven by decreased demand for CDMO and Biologics Testing services coupled with the loss of key customers within our CDMO business; partially offset by an increase in our Microbial Solutions business driven by higher product revenue associated with endotoxin product revenue and identification services revenue and the effect of changes in foreign currency exchange rates.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Manufacturing operating loss increased $112.8 million compared to fiscal year 2024. Manufacturing operating loss as a percentage of revenue for fiscal year 2025 was (24.0)%, an increase of 1,470 bps from (9.3)% for fiscal year 2024. Operating loss and operating loss as a percentage of revenue increased primarily due to the $109.0 million intangible asset impairment charge within the CDMO Gene Therapy asset group, accelerated amortization expense as a result of a decrease in the remaining useful life of certain client relationships due to a loss of key customers within the CDMO business, higher charges related to restructuring activities, including asset impairments and site consolidation charges; partially offset by lower goodwill impairment charges within the Biologics Solutions reporting unit of $165.0 million compared to $215.0 million in the corresponding period for fiscal year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gridSpan w:val="3"/>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259,676</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258,121</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1,555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 bps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costs consist of selling, general and administrative expenses that are not directly related or allocated to the reportable</w:t>
      </w:r>
    </w:p>
    <w:p>
      <w:pPr>
        <w:spacing w:after="0" w:line="2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segments. The increase in unallocated corporate costs of $1.6 million, or 0.6%, compared to fiscal year 2024 is due to higher third-party legal and advisory costs for the execution of a Cooperation Agreement entered into with a shareholder earlier this year and other transaction costs partially offset by a decline in employee compensation and benefits related costs. Costs as a percentage of revenue for fiscal year 2025 was 6.5%, an increase of 10 bps from 6.4% for fiscal year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gridSpan w:val="4"/>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4,940</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4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(107,029)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19,259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40"/>
        </w:trPr>
        <w:tc>
          <w:tcPr>
            <w:tcW w:w="2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expense,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(124,665)</w:t>
            </w: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9,568</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income for fiscal year 2025 was $4.9 million, a decrease of $3.6 million, or 42.4%, driven primarily from lower interest rates and interest earning asset balances.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Interest expense for fiscal year 2025 was $107.0 million, a decrease of $19.3 million, or 15.3%, compared to $126.3 million in fiscal year 2024 due primarily to lower average debt balances.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expense, net for fiscal year 2025 was $22.6 million, an increase of $6.1 million, or 36.7%, compared to $16.5 million for fiscal year 2024. The increase was due primarily to strategic equity and venture capital investment losses and impairments of $24.9 million as compared to $12.9 million in the corresponding period in fiscal year 2024; partially offset by a gain on the sale of a site within DSA of $3.4 million as compared to a loss of $0.7 million on the sale of a site within DSA in fiscal year 2024, and a gain on our life insurance contracts of $3.2 million as compared to a gain of $1.1 million in fiscal year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3"/>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42,660</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67,823</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(25,163)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(42.9)%</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(11,570) bps</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Income tax expense for fiscal year 2025 was $42.7 million, a decrease of $25.2 million compared to $67.8 million for fiscal year 2024. Our effective tax rate was (42.9)% for fiscal year 2025 compared to 72.8% for fiscal year 2024. The change in our effective tax rate in fiscal year 2025 compared to fiscal year 2024 was primarily attributable to the impact of the non-deductible goodwill impairment of the Biologic Solutions reporting unit.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Cash Flows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require cash to fund our working capital needs, capital expansion, acquisitions, debt payments, lease, venture capital and strategic equity investments, and pension obligations. Our principal sources of liquidity have been our cash flows from operations and recent divestitures,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and short-term investments: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Held in U.S. entities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r>
      <w:tr>
        <w:trPr>
          <w:trHeight w:val="24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190,387</w:t>
            </w:r>
          </w:p>
        </w:tc>
      </w:tr>
      <w:tr>
        <w:trPr>
          <w:trHeight w:val="24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194,606</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operating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0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r>
      <w:tr>
        <w:trPr>
          <w:trHeight w:val="23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739,615</w:t>
            </w:r>
          </w:p>
        </w:tc>
      </w:tr>
      <w:tr>
        <w:trPr>
          <w:trHeight w:val="24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(30,329)</w:t>
            </w: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737,646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734,577</w:t>
            </w:r>
          </w:p>
        </w:tc>
      </w:tr>
      <w:tr>
        <w:trPr>
          <w:trHeight w:val="20"/>
        </w:trPr>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cash flows from operating activities represents the cash receipts and disbursements related to all of our activities other than investing and financing activities. Operating cash flow is derived by adjusting our net income (loss) for items including, but not limited to (1) non-cash operating items such as depreciation and amortization, stock-based compensation, goodwill impairments, debt financing costs, deferred income taxes, write downs of inventories, provisions of credit losses, long-lived asset impairment charges, gains and/or losses and impairments on venture capital and strategic equity investments, gains and/or losses on divestitures, changes in fair value of contingent consideration, as well as (2) changes in operating assets and liabilities, which reflect timing differences between the receipt and payment of cash associated with transactions and when they are recognized in our results of operations.</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8" w:name="page59"/>
    <w:bookmarkEnd w:id="5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year 2025, our cash flows from operations was $737.6 million compared with $734.6 million for fiscal year 2024. The increase in net cash provided by operating activities was primarily due to lower payments of variable compensation, benefiting cash provided by operations by approximately $79 million, our revenue related accounts, including collections on trade receivables, deferred revenue, and customer deposits; benefiting cash provided by operations by approximately $12 million; partially offset by higher purchases of inventory of $49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investing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0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(219,152)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(232,967)</w:t>
            </w:r>
          </w:p>
        </w:tc>
      </w:tr>
      <w:tr>
        <w:trPr>
          <w:trHeight w:val="23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net</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(11,189)</w:t>
            </w:r>
          </w:p>
        </w:tc>
      </w:tr>
      <w:tr>
        <w:trPr>
          <w:trHeight w:val="25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businesses, net</w:t>
            </w: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businesses and assets, net of cash acquired</w:t>
            </w:r>
          </w:p>
        </w:tc>
        <w:tc>
          <w:tcPr>
            <w:tcW w:w="9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w:t>
            </w:r>
          </w:p>
        </w:tc>
      </w:tr>
      <w:tr>
        <w:trPr>
          <w:trHeight w:val="24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r>
      <w:tr>
        <w:trPr>
          <w:trHeight w:val="24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(209,321)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(245,086)</w:t>
            </w:r>
          </w:p>
        </w:tc>
      </w:tr>
      <w:tr>
        <w:trPr>
          <w:trHeight w:val="21"/>
        </w:trPr>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cash used to fund capital expenditures to support the growth of our business, purchases and sales of investments related to our venture capital and strategic equity investment portfolios, and asset and business acquisitions and divestitures.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fiscal year 2025, cash used in investing activities was primarily driven by capital expenditures and net purchases and sales in investments related to certain venture capital and strategic equity investments; partially offset by proceeds from divestitures of certain site and business assets. Capital expenditures declined for fiscal year 2025 compared to fiscal year 2024, primarily as a result of disciplined spend management in light of the global economic and demand environment. Cash used in investing activities in fiscal year 2024 was primarily driven by capital expenditures, an immaterial asset acquisition, and net purchases and sales in investments related to certain venture capital and strategic equity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financing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0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37"/>
        </w:trPr>
        <w:tc>
          <w:tcPr>
            <w:tcW w:w="7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1,227,534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1,081,581</w:t>
            </w:r>
          </w:p>
        </w:tc>
      </w:tr>
      <w:tr>
        <w:trPr>
          <w:trHeight w:val="23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(1,349,317)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(1,493,769)</w:t>
            </w:r>
          </w:p>
        </w:tc>
      </w:tr>
      <w:tr>
        <w:trPr>
          <w:trHeight w:val="25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w:t>
            </w:r>
          </w:p>
        </w:tc>
      </w:tr>
      <w:tr>
        <w:trPr>
          <w:trHeight w:val="23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(360,673)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(119,175)</w:t>
            </w:r>
          </w:p>
        </w:tc>
      </w:tr>
      <w:tr>
        <w:trPr>
          <w:trHeight w:val="25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4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(31,442)</w:t>
            </w:r>
          </w:p>
        </w:tc>
      </w:tr>
      <w:tr>
        <w:trPr>
          <w:trHeight w:val="243"/>
        </w:trPr>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(536,726)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(550,927)</w:t>
            </w:r>
          </w:p>
        </w:tc>
      </w:tr>
      <w:tr>
        <w:trPr>
          <w:trHeight w:val="20"/>
        </w:trPr>
        <w:tc>
          <w:tcPr>
            <w:tcW w:w="7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Financing activities primarily consist of the proceeds and repayments of debt and certain equity related transactions including treasury stock purchases and employee stock option exercises. For fiscal year 2025, net cash used in financing activities was primarily driven by the following activity:</w:t>
      </w:r>
    </w:p>
    <w:p>
      <w:pPr>
        <w:spacing w:after="0" w:line="5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repayments of $111.2 million towards our Credit Facility</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$350.0 million associated with our stock repurchase program and $10.1 million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$21.8 million associated with contingent consideration related to the acquisition of Noveprim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$19.1 million for the remaining 8% equity interest in Vital River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2024, net cash used in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repayments of $417.1 million towards our Credit Facility.</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$100.7 million associated with our stock repurchase program and $18.5 million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exercises of employee stock options of $23.9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to noncontrolling interest holders of $14.5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$12.0 million for the remaining 10% equity interest in an other redeemable noncontrolling interest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ectPr>
          <w:pgSz w:w="11900" w:h="16838" w:orient="portrait"/>
          <w:cols w:equalWidth="0" w:num="1">
            <w:col w:w="11220"/>
          </w:cols>
          <w:pgMar w:left="320" w:top="117" w:right="35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outstanding under our revolving credit facility and our Senior Notes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410210</wp:posOffset>
            </wp:positionV>
            <wp:extent cx="661797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797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Revolving credit facility</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4.25%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61797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797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3.75% Senior Notes due 2029</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61797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7970" cy="179705"/>
                    </a:xfrm>
                    <a:prstGeom prst="rect">
                      <a:avLst/>
                    </a:prstGeom>
                    <a:noFill/>
                  </pic:spPr>
                </pic:pic>
              </a:graphicData>
            </a:graphic>
          </wp:anchor>
        </w:drawing>
      </w:r>
    </w:p>
    <w:p>
      <w:pPr>
        <w:spacing w:after="0" w:line="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180" w:type="dxa"/>
            <w:vAlign w:val="bottom"/>
          </w:tcPr>
          <w:p>
            <w:pPr>
              <w:spacing w:after="0"/>
              <w:rPr>
                <w:sz w:val="16"/>
                <w:szCs w:val="16"/>
                <w:color w:val="auto"/>
              </w:rPr>
            </w:pPr>
          </w:p>
        </w:tc>
        <w:tc>
          <w:tcPr>
            <w:tcW w:w="324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1"/>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616,503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714,948</w:t>
            </w:r>
          </w:p>
        </w:tc>
      </w:tr>
      <w:tr>
        <w:trPr>
          <w:trHeight w:val="243"/>
        </w:trPr>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3"/>
        </w:trPr>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9"/>
        </w:trPr>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2,116,503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2,214,948</w:t>
            </w:r>
          </w:p>
        </w:tc>
      </w:tr>
      <w:tr>
        <w:trPr>
          <w:trHeight w:val="27"/>
        </w:trPr>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ectPr>
          <w:pgSz w:w="11900" w:h="16838" w:orient="portrait"/>
          <w:cols w:equalWidth="0" w:num="2">
            <w:col w:w="6940" w:space="720"/>
            <w:col w:w="3560"/>
          </w:cols>
          <w:pgMar w:left="320" w:top="117" w:right="359" w:bottom="1440" w:gutter="0" w:footer="0" w:header="0"/>
          <w:type w:val="continuous"/>
        </w:sect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Revolving credit facility, “Credit Facility” provides for up to $2.0 billion in multi-currency revolving credit and has a maturity date of December 2029, with no required scheduled payment before that date. The Credit Facility maintains interest rates equal to (A) for revolving loans denominated in U.S. dollars, at our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our leverage ratio.</w:t>
      </w:r>
    </w:p>
    <w:p>
      <w:pPr>
        <w:spacing w:after="0" w:line="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2028 Senior Notes have semi-annual interest payments due May 1 and November 1. Our 2029 and 2031 Senior Notes have semi-annual interest payments due March 15 and September 15.</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had an interest rate swap with a notional amount of $500 million to manage interest rate fluctuation related to our floating rate borrowings under the revolving credit facility, at a fixed rate of 4.65%. Our swap matured in fiscal year 2024 and we have not entered into any additional interest rate swap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commitments related to our outstanding letters of credit as of December 27, 2025 were $22.0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operate on a global basis and have exposure to some foreign currency exchange rate fluctuations for our financial position, results of operations, and cash flows.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the financial results of our global activities are reported in U.S. dollars, our foreign subsidiaries typically conduct their operations in their respective local currency. The principal functional currencies of our foreign subsidiaries are the Euro, British Pound, Canadian Dollar, and Mauritian Rupee. During fiscal year 2025, the most significant drivers of foreign currency translation adjustment we recorded as part of other comprehensive income (loss) were the Euro, Great British Pound, Canadian Dollar, Hungarian Forint, Mauritian Rupee and Chinese Yuan.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(loss)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fiscal year 2025, our revenue would have decreased by $135.6 million, and our operating income would have increased by $9.6 million, if the U.S. dollar exchange rate had strengthened by 10%, with all other variables held constant.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fiscal year 2025, we repurchased 2.1 million shares of common stock for $350.0 million under the prior stock repurchase program. On October 29, 2025, our Board of Directors approved a new stock repurchase authorization of $1.0 billion. This new authorization replaces the prior stock repurchase authorization of $1.0 billion that had $549.3 million remaining on the plan when it was terminated. As of December 27, 2025, we had $1.0 billion remaining on the current authorized stock repurchase program.</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 During fiscal year 2025 and 2024, we acquired 0.1 million shares for $10.1 million and $18.5 million, respectively, through such netting.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Other Purchasing Arrangements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lease properties and equipment for use in our operations. In addition to rent, the leases may require us to pay additional amounts for taxes, insurance, maintenance, and other operating expenses. As of December 27, 2025, we had $626.6 million of operating leases inclusive of future minimum rental commitments under non-cancellable operating leases, net of income from subleases as well as $37.0 million of financing leases. The expected payments of our operating and finance lease liabilities over the next twelve months are $80.7 million and $4.6 million, respectively as of December 27, 2025.</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obligations on the balance sheet at December 27, 2025, we entered into unconditional purchase obligations in the ordinary course of business. Unconditional purchase obligations include agreements to purchase goods or services that are enforceable and legally binding and that specify all significant terms, including fixed or minimum quantities to be purchased, fixed, minimum or variable price provisions, and the approximate timing of the transaction. Purchase obligations exclude agreements that are cancellable at any time without penalty. As of December 27, 2025, we had approximately $340 million of unconditional purchase obligations, the majority of which are expected to be settled during 2026.</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invest in several venture capital funds that invest in start-up companies, primarily in the life sciences industry. Our total commitment to the funds as of December 27, 2025 was $234.3 million, of which we funded $184.9 million through December 27, 2025. Refer to Note 8. Venture Capital and Strategic Equity Investments to our consolidated financial statements contained in Item 8, “Financial Statements and Supplementary Data,” in this Annual Report on Form 10-K for further details.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certain business and asset acquisitions, we agreed to make additional payments based upon the achievement of certain financial targets and other milestones in connection with the respective acquisition. As of December 27, 2025, we had approximately $30 million of gross contingent payments, of which $30 million is the current fair value.</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had certain federal and state income tax liabilities of $17.9 million relating to the one-time Transition Tax on unrepatriated earnings under the 2017 Tax Act. The Transition Tax was paid, interest free, with a final payment in fiscal 2025.</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“Item 7. Management’s Discussion and Analysis of Results of Operations - Liquidity and Capital Resources” of this Report; and Note 1 “Description of Business and Summary of Significant Accounting Policies - Fair Value” included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238)</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Income (Loss) for fiscal years 2025, 2024 and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Comprehensive Income (Loss) for fiscal years 2025, 2024 and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Balance Sheets as of December 27, 2025 and December 28,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65</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Cash Flows for fiscal years 2025, 2024 and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Changes in Equity and Redeemable Noncontrolling Interests for fiscal years 2025, 2024 and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 Description of Business and Summary of Significant Accounting Policies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68</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2. Acquisitions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3. Revenue from Contracts with Customers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4. Segment and Geographic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5. Supplemental Cash Flow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6. Inventory</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7. Property, Plant and Equipment, Net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84</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8. Venture Capital and Strategic Equity Investments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84</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9. Fair Value</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85</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10. Goodwill and Intangible 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11. Debt and Other Financing Arrangements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12. Equity and Noncontrolling Interest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13. Income Taxes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14. Employee Benefit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98</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15. Stock-based Compensation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102</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16. Restructuring and Asset Impairments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17. Leases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w:t>
            </w:r>
          </w:p>
        </w:tc>
      </w:tr>
      <w:tr>
        <w:trPr>
          <w:trHeight w:val="351"/>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Note 18. Commitments and Contingencies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3" w:lineRule="exact"/>
        <w:rPr>
          <w:sz w:val="20"/>
          <w:szCs w:val="20"/>
          <w:color w:val="auto"/>
        </w:rPr>
      </w:pPr>
    </w:p>
    <w:p>
      <w:pPr>
        <w:ind w:right="3360" w:firstLine="3364"/>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Charles River Laboratories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Charles River Laboratories International, Inc. and its subsidiaries (the "Company") as of December 27, 2025 and December 28, 2024, and the related consolidated statements of income (loss), of comprehensive income (loss), of changes in equity and redeemable noncontrolling interests and of cash flows for each of the three years in the period ended December 27, 2025, including the related notes (collectively referred to as the "consolidated financial statements"). We also have audited the Company's internal control over financial reporting as of December 27,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27, 2025 and December 28, 2024, and the results of its operations and its cash flows for each of the three years in the period ended December 27, 2025 in conformity with accounting principles generally accepted in the United States of America. Also in our opinion, the Company maintained, in all material respects, effective internal control over financial reporting as of December 27,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unauthorized acquisition, use, or disposition of the company’s assets that could have a material effect on the financial statements.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Assessment - Biologics Solutions Reporting Unit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Notes 1 and 10 to the consolidated financial statements, the Company’s goodwill balance was $2,764.3 million as of December 27, 2025, a portion of which related to the Biologics Solutions reporting unit. Goodwill is tested for impairment annually during the fourth quarter or more frequently if an event occurs or circumstances change that would more-likely-than-not reduce the fair value of the Company's reporting units below their carrying amounts. If the carrying values of the net assets assigned to the reporting units exceed the fair values of the reporting units, an impairment loss equal to the difference would be recorded. The determination of the fair value of reporting units requires the use of significant judgment using management’s best estimates of inputs and assumptions that a market participant would use. The fair value was determined using a weighted combination of a discounted cash flow model (an income approach) and sales and earnings multiples based on the guideline public company method and other market information (a market approach). The discounted cash flow model used to determine the fair value of the Biologics Solutions reporting unit reflected significant assumptions related to future revenue, a long term growth rate, operating income margins and a discount rate based on a weighted-average cost of capital. Significant assumptions used in the market approach include earnings multiples, sales multiples, and other market information about the value of certain asset groups within the reporting unit. Upon completion of the annual impairment test in fiscal 2025, management determined that the fair value of the Biologics Solutions reporting unit did not exceed its carrying value resulting in a goodwill impairment charge of $165.0 million.</w:t>
      </w:r>
    </w:p>
    <w:p>
      <w:pPr>
        <w:spacing w:after="0" w:line="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annual goodwill impairment assessment of the Biologics Solutions reporting unit is a critical audit matter are (i) the significant judgment by management when developing the fair value estimate of the Biologics Solutions reporting unit; (ii) a high degree of auditor judgment, subjectivity, and effort in performing procedures and evaluating management’s significant assumptions related to earnings multiples, sales multiples and other market information used in the market approach and future revenue, the long term growth rate, operating income margins, and discount rate used in the income approach; and (iii) the audit effort involved the use of professionals with specialized skill and knowledge.</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Biologics Solutions reporting unit. These procedures also included, among others (i) testing management’s process for developing the fair value estimate of the reporting unit; (ii) evaluating the appropriateness of the market approach and the income approach used by management; (iii) testing the completeness and accuracy of underlying data used in the market approach and the income approach; and (iv) evaluating the reasonableness of the significant assumptions used by management related to earnings multiples, sales multiples and other market information used in the market approach and future revenue, the long term growth rate, operating income margins, and discount rate used in the income approach. Evaluating management’s assumptions related to other market information used in the market approach and future revenue and operating income margins used in the income approach involved evaluating whether the assumptions used by management were reasonable considering (i) the current and past performance of the Biologics Solutions reporting unit; (ii) the consistency with external market and industry data; and (iii) whether the assumptions were consistent with evidence obtained in other areas of the audit. Professionals</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specialized skill and knowledge were used to assist in evaluating (i) the appropriateness of the market approach and the income approach and (ii) the reasonableness of the earnings multiples and sales multiples used in the market approach, and the long term growth rate and discount rate assumptions used in the income approach.</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using the Cost-to-Cost Method – Discovery and Safety Assessment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Notes 1 and 3 to the consolidated financial statements, the Company recognized Discovery and Safety Assessment (DSA) revenue from services and products transferred over time of $2,400.4 million for the year-ended December 27, 2025, of which a significant portion relates to services that are delivered to the customer based on the extent of progress towards completion of the performance obligation, which management measures using the cost-to-cost (input) method. Management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 calculation includes variables such as labor hours, allocation of overhead costs, research model costs, and subcontractor costs. Revenue is recorded proportionally as costs are incurred.</w:t>
      </w:r>
    </w:p>
    <w:p>
      <w:pPr>
        <w:spacing w:after="0" w:line="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DSA revenue recognized using the cost-to-cost method is a critical audit matter are a high degree of auditor subjectivity and effort in performing procedures and evaluating audit evidence related to the ratio of costs incurred to date to the total estimated costs at completion of the performance obligation.</w:t>
      </w:r>
    </w:p>
    <w:p>
      <w:pPr>
        <w:spacing w:after="0" w:line="6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DSA revenue recognition process. These procedures also included, among others (i) reading contracts and, if applicable, reports describing the results of services provided for a sample of DSA service contracts; (ii) testing management’s process for determining the amount of DSA service revenue recognized over time for a sample of DSA service contracts; (iii) evaluating the appropriateness of the cost-to-cost method used by management; (iv) evaluating the reasonableness of the ratio of costs incurred to date to the total estimated costs at completion of the performance obligations through performing a retrospective comparison of actual costs incurred to historical estimated costs for completed service contracts; and (v) testing actual costs incurred for a sample of service contracts by examining evidence of costs incurred.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4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4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3,250,099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3,304,138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3,440,019</w:t>
            </w:r>
          </w:p>
        </w:tc>
      </w:tr>
      <w:tr>
        <w:trPr>
          <w:trHeight w:val="237"/>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765,283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745,851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689,390</w:t>
            </w:r>
          </w:p>
        </w:tc>
      </w:tr>
      <w:tr>
        <w:trPr>
          <w:trHeight w:val="24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4,015,382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4,049,989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2,314,760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2,345,781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2,295,983</w:t>
            </w:r>
          </w:p>
        </w:tc>
      </w:tr>
      <w:tr>
        <w:trPr>
          <w:trHeight w:val="233"/>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330,870</w:t>
            </w:r>
          </w:p>
        </w:tc>
      </w:tr>
      <w:tr>
        <w:trPr>
          <w:trHeight w:val="25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751,003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747,855</w:t>
            </w:r>
          </w:p>
        </w:tc>
      </w:tr>
      <w:tr>
        <w:trPr>
          <w:trHeight w:val="233"/>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137,440</w:t>
            </w:r>
          </w:p>
        </w:tc>
      </w:tr>
      <w:tr>
        <w:trPr>
          <w:trHeight w:val="25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617,261</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r>
      <w:tr>
        <w:trPr>
          <w:trHeight w:val="233"/>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(136,710)</w:t>
            </w:r>
          </w:p>
        </w:tc>
      </w:tr>
      <w:tr>
        <w:trPr>
          <w:trHeight w:val="2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95,537</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581,284</w:t>
            </w:r>
          </w:p>
        </w:tc>
      </w:tr>
      <w:tr>
        <w:trPr>
          <w:trHeight w:val="24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100,914</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480,370</w:t>
            </w:r>
          </w:p>
        </w:tc>
      </w:tr>
      <w:tr>
        <w:trPr>
          <w:trHeight w:val="2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Charles River Laboratories International, Inc.</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(144,338)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474,624</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right="220"/>
        <w:spacing w:after="0" w:line="280" w:lineRule="auto"/>
        <w:rPr>
          <w:sz w:val="20"/>
          <w:szCs w:val="20"/>
          <w:color w:val="auto"/>
        </w:rPr>
      </w:pPr>
      <w:r>
        <w:rPr>
          <w:rFonts w:ascii="Times New Roman" w:cs="Times New Roman" w:eastAsia="Times New Roman" w:hAnsi="Times New Roman"/>
          <w:sz w:val="16"/>
          <w:szCs w:val="16"/>
          <w:color w:val="auto"/>
        </w:rPr>
        <w:t>Calculation of net income (loss) per share attributable to Charles River Laboratories International, Inc.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right="40" w:hanging="107"/>
        <w:spacing w:after="0" w:line="286" w:lineRule="auto"/>
        <w:rPr>
          <w:sz w:val="20"/>
          <w:szCs w:val="20"/>
          <w:color w:val="auto"/>
        </w:rPr>
      </w:pPr>
      <w:r>
        <w:rPr>
          <w:rFonts w:ascii="Times New Roman" w:cs="Times New Roman" w:eastAsia="Times New Roman" w:hAnsi="Times New Roman"/>
          <w:sz w:val="16"/>
          <w:szCs w:val="16"/>
          <w:color w:val="auto"/>
        </w:rPr>
        <w:t>Net income (loss) attributable to Charles River Laboratories International, Inc.</w:t>
      </w:r>
      <w:r>
        <w:rPr>
          <w:sz w:val="20"/>
          <w:szCs w:val="20"/>
          <w:color w:val="auto"/>
        </w:rPr>
        <w:t xml:space="preserve"> </w:t>
      </w:r>
      <w:r>
        <w:rPr>
          <w:rFonts w:ascii="Times New Roman" w:cs="Times New Roman" w:eastAsia="Times New Roman" w:hAnsi="Times New Roman"/>
          <w:sz w:val="16"/>
          <w:szCs w:val="16"/>
          <w:color w:val="auto"/>
        </w:rPr>
        <w:t>$ Less: Incremental dividends attributed to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(loss) available to Charles River Laboratories International, Inc. common shareholders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(144,338)</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474,624</w:t>
            </w:r>
          </w:p>
        </w:tc>
      </w:tr>
      <w:tr>
        <w:trPr>
          <w:trHeight w:val="246"/>
        </w:trPr>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11,906</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(144,338)</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474,624</w:t>
            </w:r>
          </w:p>
        </w:tc>
      </w:tr>
      <w:tr>
        <w:trPr>
          <w:trHeight w:val="27"/>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-8255</wp:posOffset>
            </wp:positionV>
            <wp:extent cx="9683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117" w:right="33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Earnings (loss) per common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6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6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5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9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6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6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257"/>
        </w:trPr>
        <w:tc>
          <w:tcPr>
            <w:tcW w:w="5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9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9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49,564</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51,380</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51,227</w:t>
            </w:r>
          </w:p>
        </w:tc>
      </w:tr>
      <w:tr>
        <w:trPr>
          <w:trHeight w:val="25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9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49,564</w:t>
            </w: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51,628</w:t>
            </w: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CONSOLIDATED STATEMENTS OF COMPREHENSIVE INCOME (LOSS) (in thousands)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4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4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70,651</w:t>
            </w:r>
          </w:p>
        </w:tc>
      </w:tr>
      <w:tr>
        <w:trPr>
          <w:trHeight w:val="233"/>
        </w:trPr>
        <w:tc>
          <w:tcPr>
            <w:tcW w:w="6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other post-retirement benefit plans (Note 14):</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Prior service cost and (losses) gains arising during the period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r>
      <w:tr>
        <w:trPr>
          <w:trHeight w:val="202"/>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net loss, settlement losses, and prior service benefit included in total cost for</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(losses) on hedging instruments</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68,501</w:t>
            </w:r>
          </w:p>
        </w:tc>
      </w:tr>
      <w:tr>
        <w:trPr>
          <w:trHeight w:val="21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Income tax (benefit) expense related to items of other comprehensive income (loss)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12)</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net of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544,800</w:t>
            </w:r>
          </w:p>
        </w:tc>
      </w:tr>
      <w:tr>
        <w:trPr>
          <w:trHeight w:val="24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related to noncontrolling interests, net of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common shareholders, net of income taxes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(98,715)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540,254</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51" w:lineRule="exact"/>
        <w:rPr>
          <w:sz w:val="20"/>
          <w:szCs w:val="20"/>
          <w:color w:val="auto"/>
        </w:rPr>
      </w:pPr>
    </w:p>
    <w:p>
      <w:pPr>
        <w:jc w:val="right"/>
        <w:ind w:right="22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December 27, 2025</w:t>
      </w:r>
      <w:r>
        <w:rPr>
          <w:sz w:val="20"/>
          <w:szCs w:val="20"/>
          <w:color w:val="auto"/>
        </w:rPr>
        <w:tab/>
      </w:r>
      <w:r>
        <w:rPr>
          <w:rFonts w:ascii="Times New Roman" w:cs="Times New Roman" w:eastAsia="Times New Roman" w:hAnsi="Times New Roman"/>
          <w:sz w:val="14"/>
          <w:szCs w:val="14"/>
          <w:b w:val="1"/>
          <w:bCs w:val="1"/>
          <w:color w:val="auto"/>
        </w:rPr>
        <w:t>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41910</wp:posOffset>
            </wp:positionV>
            <wp:extent cx="21170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right="640" w:firstLine="13"/>
        <w:spacing w:after="0" w:line="325" w:lineRule="auto"/>
        <w:rPr>
          <w:sz w:val="20"/>
          <w:szCs w:val="20"/>
          <w:color w:val="auto"/>
        </w:rPr>
      </w:pPr>
      <w:r>
        <w:rPr>
          <w:rFonts w:ascii="Times New Roman" w:cs="Times New Roman" w:eastAsia="Times New Roman" w:hAnsi="Times New Roman"/>
          <w:sz w:val="16"/>
          <w:szCs w:val="16"/>
          <w:color w:val="auto"/>
        </w:rPr>
        <w:t>Trade receivables and contract assets, net of allowances for credit losses of $10,463 and $18,301, respectively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Prepaid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Venture capital and strategic equity investments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debt, net and finance leases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right-of-use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liabilities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Commitments and contingencies (Notes 2, 11, 13, and 18)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Preferred stock, $0.01 par value; 20,000 shares authorized; no shares issued and outstanding</w:t>
      </w:r>
    </w:p>
    <w:p>
      <w:pPr>
        <w:spacing w:after="0" w:line="32"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6"/>
          <w:szCs w:val="16"/>
          <w:color w:val="auto"/>
        </w:rPr>
        <w:t>Common stock, $0.01 par value; 120,000 shares authorized; 49,217 shares issued and outstanding as of December 27, 2025 and 51,141 shares issued and outstanding as of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Treasury stock, at cost, zero shares as of December 27, 2025 and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Charles River Laboratories International, Inc.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Nonredeemable noncontrolling interest</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equity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213,770</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194,606</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708,856</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720,915</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299,103</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278,544</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96,108</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103,210</w:t>
            </w:r>
          </w:p>
        </w:tc>
      </w:tr>
      <w:tr>
        <w:trPr>
          <w:trHeight w:val="25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129,212</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105,796</w:t>
            </w:r>
          </w:p>
        </w:tc>
      </w:tr>
      <w:tr>
        <w:trPr>
          <w:trHeight w:val="224"/>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1,447,049</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1,403,071</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1,655,219</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1,604,014</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206,972</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218,350</w:t>
            </w:r>
          </w:p>
        </w:tc>
      </w:tr>
      <w:tr>
        <w:trPr>
          <w:trHeight w:val="229"/>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361,415</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412,490</w:t>
            </w:r>
          </w:p>
        </w:tc>
      </w:tr>
      <w:tr>
        <w:trPr>
          <w:trHeight w:val="230"/>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2,764,253</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2,846,608</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339,995</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723,400</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67,334</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42,179</w:t>
            </w:r>
          </w:p>
        </w:tc>
      </w:tr>
      <w:tr>
        <w:trPr>
          <w:trHeight w:val="25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293,185</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278,233</w:t>
            </w:r>
          </w:p>
        </w:tc>
      </w:tr>
      <w:tr>
        <w:trPr>
          <w:trHeight w:val="23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7,135,422</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7,528,345</w:t>
            </w:r>
          </w:p>
        </w:tc>
      </w:tr>
      <w:tr>
        <w:trPr>
          <w:trHeight w:val="27"/>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0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148,800</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140,337</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268,854</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179,418</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210,418</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248,322</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270,085</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232,010</w:t>
            </w:r>
          </w:p>
        </w:tc>
      </w:tr>
      <w:tr>
        <w:trPr>
          <w:trHeight w:val="25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222,158</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194,014</w:t>
            </w:r>
          </w:p>
        </w:tc>
      </w:tr>
      <w:tr>
        <w:trPr>
          <w:trHeight w:val="224"/>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1,120,315</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994,101</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2,136,360</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2,240,205</w:t>
            </w:r>
          </w:p>
        </w:tc>
      </w:tr>
      <w:tr>
        <w:trPr>
          <w:trHeight w:val="230"/>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434,048</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483,789</w:t>
            </w:r>
          </w:p>
        </w:tc>
      </w:tr>
      <w:tr>
        <w:trPr>
          <w:trHeight w:val="229"/>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95,203</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106,960</w:t>
            </w:r>
          </w:p>
        </w:tc>
      </w:tr>
      <w:tr>
        <w:trPr>
          <w:trHeight w:val="25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138,302</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195,212</w:t>
            </w:r>
          </w:p>
        </w:tc>
      </w:tr>
      <w:tr>
        <w:trPr>
          <w:trHeight w:val="22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3,924,228</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4,020,267</w:t>
            </w:r>
          </w:p>
        </w:tc>
      </w:tr>
      <w:tr>
        <w:trPr>
          <w:trHeight w:val="48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41,263</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41,126</w:t>
            </w:r>
          </w:p>
        </w:tc>
      </w:tr>
      <w:tr>
        <w:trPr>
          <w:trHeight w:val="48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492</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1,947,301</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1,966,237</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1,388,620</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1,812,100</w:t>
            </w:r>
          </w:p>
        </w:tc>
      </w:tr>
      <w:tr>
        <w:trPr>
          <w:trHeight w:val="24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(171,783)</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(317,345)</w:t>
            </w:r>
          </w:p>
        </w:tc>
      </w:tr>
      <w:tr>
        <w:trPr>
          <w:trHeight w:val="223"/>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3,164,630</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3,461,503</w:t>
            </w:r>
          </w:p>
        </w:tc>
      </w:tr>
      <w:tr>
        <w:trPr>
          <w:trHeight w:val="25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5,301</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5,449</w:t>
            </w:r>
          </w:p>
        </w:tc>
      </w:tr>
      <w:tr>
        <w:trPr>
          <w:trHeight w:val="237"/>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3,169,931</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3,466,952</w:t>
            </w:r>
          </w:p>
        </w:tc>
      </w:tr>
      <w:tr>
        <w:trPr>
          <w:trHeight w:val="236"/>
        </w:trPr>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7,135,422</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7,528,345</w:t>
            </w:r>
          </w:p>
        </w:tc>
      </w:tr>
      <w:tr>
        <w:trPr>
          <w:trHeight w:val="27"/>
        </w:trPr>
        <w:tc>
          <w:tcPr>
            <w:tcW w:w="8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-8255</wp:posOffset>
            </wp:positionV>
            <wp:extent cx="1028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-359410</wp:posOffset>
            </wp:positionV>
            <wp:extent cx="1028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-676910</wp:posOffset>
            </wp:positionV>
            <wp:extent cx="1028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-2313940</wp:posOffset>
            </wp:positionV>
            <wp:extent cx="1028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-4165600</wp:posOffset>
            </wp:positionV>
            <wp:extent cx="1028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780" w:space="120"/>
            <w:col w:w="180" w:space="720"/>
            <w:col w:w="2420"/>
          </w:cols>
          <w:pgMar w:left="340" w:top="117" w:right="339" w:bottom="1440" w:gutter="0" w:footer="0" w:header="0"/>
          <w:type w:val="continuous"/>
        </w:sect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68" w:name="page69"/>
    <w:bookmarkEnd w:id="68"/>
    <w:p>
      <w:pPr>
        <w:jc w:val="center"/>
        <w:ind w:left="2000" w:right="2019"/>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CONSOLIDATED STATEMENTS OF CASH FLOWS (in thousands)</w:t>
      </w:r>
    </w:p>
    <w:p>
      <w:pPr>
        <w:sectPr>
          <w:pgSz w:w="11900" w:h="16838" w:orient="portrait"/>
          <w:cols w:equalWidth="0" w:num="1">
            <w:col w:w="9019"/>
          </w:cols>
          <w:pgMar w:left="1440" w:top="117"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5"/>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344"/>
        </w:trPr>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1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relating to operating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5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314,124</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Long-lived asset impairments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41,911</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69,891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72,048</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(50,903)</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Write down of inventories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(Gains) losses and impairments on venture capital and strategic equity investments, net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(97,827)</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18,225</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loss on divestitures, net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36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(33,434)</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(62,301)</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(20,427)</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w:t>
            </w: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(21,743)</w:t>
            </w:r>
          </w:p>
        </w:tc>
      </w:tr>
      <w:tr>
        <w:trPr>
          <w:trHeight w:val="21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(15,564)</w:t>
            </w:r>
          </w:p>
        </w:tc>
      </w:tr>
      <w:tr>
        <w:trPr>
          <w:trHeight w:val="345"/>
        </w:trPr>
        <w:tc>
          <w:tcPr>
            <w:tcW w:w="7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(51,995)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38,642</w:t>
            </w:r>
          </w:p>
        </w:tc>
      </w:tr>
      <w:tr>
        <w:trPr>
          <w:trHeight w:val="351"/>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737,646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683,898</w:t>
            </w:r>
          </w:p>
        </w:tc>
      </w:tr>
      <w:tr>
        <w:trPr>
          <w:trHeight w:val="31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relating to 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5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(318,528)</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(54,215)</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(194,785)</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sale of businesses, net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45"/>
        </w:trPr>
        <w:tc>
          <w:tcPr>
            <w:tcW w:w="7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351"/>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(563,155)</w:t>
            </w:r>
          </w:p>
        </w:tc>
      </w:tr>
      <w:tr>
        <w:trPr>
          <w:trHeight w:val="31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relating to financing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5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1,227,534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776,353</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(1,349,317)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(851,676)</w:t>
            </w:r>
          </w:p>
        </w:tc>
      </w:tr>
      <w:tr>
        <w:trPr>
          <w:trHeight w:val="361"/>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25,597</w:t>
            </w: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(24,155)</w:t>
            </w:r>
          </w:p>
        </w:tc>
      </w:tr>
      <w:tr>
        <w:trPr>
          <w:trHeight w:val="354"/>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r>
      <w:tr>
        <w:trPr>
          <w:trHeight w:val="341"/>
        </w:trPr>
        <w:tc>
          <w:tcPr>
            <w:tcW w:w="7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remaining equity interests of other redeemable noncontrolling interest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w:t>
            </w:r>
          </w:p>
        </w:tc>
      </w:tr>
      <w:tr>
        <w:trPr>
          <w:trHeight w:val="354"/>
        </w:trPr>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341"/>
        </w:trPr>
        <w:tc>
          <w:tcPr>
            <w:tcW w:w="7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(85,521)</w:t>
            </w:r>
          </w:p>
        </w:tc>
      </w:tr>
      <w:tr>
        <w:trPr>
          <w:trHeight w:val="35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w:t>
            </w:r>
          </w:p>
        </w:tc>
      </w:tr>
      <w:tr>
        <w:trPr>
          <w:trHeight w:val="341"/>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43,266</w:t>
            </w:r>
          </w:p>
        </w:tc>
      </w:tr>
      <w:tr>
        <w:trPr>
          <w:trHeight w:val="35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284,480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241,214</w:t>
            </w:r>
          </w:p>
        </w:tc>
      </w:tr>
      <w:tr>
        <w:trPr>
          <w:trHeight w:val="351"/>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215,997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284,480</w:t>
            </w:r>
          </w:p>
        </w:tc>
      </w:tr>
      <w:tr>
        <w:trPr>
          <w:trHeight w:val="21"/>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240"/>
          </w:cols>
          <w:pgMar w:left="320" w:top="286" w:right="339" w:bottom="142"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71" w:name="page72"/>
    <w:bookmarkEnd w:id="71"/>
    <w:p>
      <w:pPr>
        <w:jc w:val="center"/>
        <w:ind w:left="560" w:right="600"/>
        <w:spacing w:after="0" w:line="27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CONSOLIDATED STATEMENTS OF CHANGES IN EQUITY AND REDEEMABLE NONCONTROLLING INTERESTS (in thousands)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2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3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21"/>
                <w:szCs w:val="2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2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3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Attributable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to Common</w:t>
            </w:r>
          </w:p>
        </w:tc>
        <w:tc>
          <w:tcPr>
            <w:tcW w:w="100" w:type="dxa"/>
            <w:vAlign w:val="bottom"/>
          </w:tcPr>
          <w:p>
            <w:pPr>
              <w:spacing w:after="0"/>
              <w:rPr>
                <w:sz w:val="2"/>
                <w:szCs w:val="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2"/>
                <w:szCs w:val="2"/>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5"/>
                <w:szCs w:val="15"/>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9"/>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420" w:type="dxa"/>
            <w:vAlign w:val="bottom"/>
            <w:vMerge w:val="continue"/>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42,427</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50,944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509</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1,804,940</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1,432,901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(262,057)</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2,976,293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4,785</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2,981,078</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3,492</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474,624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474,624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476,878</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65,630</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65,630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65,630</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income (loss)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declared to</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(5,694)</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5,694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5,694</w:t>
            </w: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8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remaining</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equity interest of Vital</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(24,148)</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420" w:type="dxa"/>
            <w:vAlign w:val="bottom"/>
            <w:vMerge w:val="restart"/>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River redeemable</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42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Gain on purchase of</w:t>
            </w:r>
          </w:p>
        </w:tc>
        <w:tc>
          <w:tcPr>
            <w:tcW w:w="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remaining equity interest</w:t>
            </w:r>
          </w:p>
        </w:tc>
        <w:tc>
          <w:tcPr>
            <w:tcW w:w="80" w:type="dxa"/>
            <w:vAlign w:val="bottom"/>
          </w:tcPr>
          <w:p>
            <w:pPr>
              <w:spacing w:after="0"/>
              <w:rPr>
                <w:sz w:val="11"/>
                <w:szCs w:val="11"/>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0" w:type="dxa"/>
            <w:vAlign w:val="bottom"/>
          </w:tcPr>
          <w:p>
            <w:pPr>
              <w:spacing w:after="0"/>
              <w:rPr>
                <w:sz w:val="1"/>
                <w:szCs w:val="1"/>
                <w:color w:val="auto"/>
              </w:rPr>
            </w:pPr>
          </w:p>
        </w:tc>
      </w:tr>
      <w:tr>
        <w:trPr>
          <w:trHeight w:val="97"/>
        </w:trPr>
        <w:tc>
          <w:tcPr>
            <w:tcW w:w="1420" w:type="dxa"/>
            <w:vAlign w:val="bottom"/>
            <w:vMerge w:val="restart"/>
          </w:tcPr>
          <w:p>
            <w:pPr>
              <w:ind w:left="20"/>
              <w:spacing w:after="0" w:line="126" w:lineRule="exact"/>
              <w:rPr>
                <w:sz w:val="20"/>
                <w:szCs w:val="20"/>
                <w:color w:val="auto"/>
              </w:rPr>
            </w:pPr>
            <w:r>
              <w:rPr>
                <w:rFonts w:ascii="Times New Roman" w:cs="Times New Roman" w:eastAsia="Times New Roman" w:hAnsi="Times New Roman"/>
                <w:sz w:val="13"/>
                <w:szCs w:val="13"/>
                <w:color w:val="auto"/>
              </w:rPr>
              <w:t>of Vital River redeemable</w:t>
            </w:r>
          </w:p>
        </w:tc>
        <w:tc>
          <w:tcPr>
            <w:tcW w:w="8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4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4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Acquisition of redeemable</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45,374</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under</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25,597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25,597</w:t>
            </w: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8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treasury</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(24,155)</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5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Retirement of treasury</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(3,847)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(20,307)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w w:val="99"/>
              </w:rPr>
              <w:t>(105)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30, 2023</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56,722</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51,338</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1,905,578</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1,887,218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(196,427)</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3,596,882</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5,394</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3,602,276</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1,095</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24,196</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(2,851)</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(120,918)</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(120,918)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(120,918)</w:t>
            </w:r>
          </w:p>
        </w:tc>
        <w:tc>
          <w:tcPr>
            <w:tcW w:w="0" w:type="dxa"/>
            <w:vAlign w:val="bottom"/>
          </w:tcPr>
          <w:p>
            <w:pPr>
              <w:spacing w:after="0"/>
              <w:rPr>
                <w:sz w:val="1"/>
                <w:szCs w:val="1"/>
                <w:color w:val="auto"/>
              </w:rPr>
            </w:pPr>
          </w:p>
        </w:tc>
      </w:tr>
      <w:tr>
        <w:trPr>
          <w:trHeight w:val="105"/>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(loss)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declared to</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(12,580)</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w:t>
            </w:r>
          </w:p>
        </w:tc>
        <w:tc>
          <w:tcPr>
            <w:tcW w:w="0" w:type="dxa"/>
            <w:vAlign w:val="bottom"/>
          </w:tcPr>
          <w:p>
            <w:pPr>
              <w:spacing w:after="0"/>
              <w:rPr>
                <w:sz w:val="1"/>
                <w:szCs w:val="1"/>
                <w:color w:val="auto"/>
              </w:rPr>
            </w:pPr>
          </w:p>
        </w:tc>
      </w:tr>
      <w:tr>
        <w:trPr>
          <w:trHeight w:val="105"/>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10,688</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8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remaining</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equity interest of other</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420" w:type="dxa"/>
            <w:vAlign w:val="bottom"/>
            <w:vMerge w:val="restart"/>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w w:val="98"/>
              </w:rPr>
              <w:t>redeemable noncontrolling</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42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purchase</w:t>
            </w:r>
          </w:p>
        </w:tc>
        <w:tc>
          <w:tcPr>
            <w:tcW w:w="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price of Noveprim</w:t>
            </w:r>
          </w:p>
        </w:tc>
        <w:tc>
          <w:tcPr>
            <w:tcW w:w="80" w:type="dxa"/>
            <w:vAlign w:val="bottom"/>
          </w:tcPr>
          <w:p>
            <w:pPr>
              <w:spacing w:after="0"/>
              <w:rPr>
                <w:sz w:val="11"/>
                <w:szCs w:val="11"/>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52</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420" w:type="dxa"/>
            <w:vAlign w:val="bottom"/>
            <w:vMerge w:val="restart"/>
          </w:tcPr>
          <w:p>
            <w:pPr>
              <w:ind w:left="20"/>
              <w:spacing w:after="0" w:line="126" w:lineRule="exact"/>
              <w:rPr>
                <w:sz w:val="20"/>
                <w:szCs w:val="20"/>
                <w:color w:val="auto"/>
              </w:rPr>
            </w:pPr>
            <w:r>
              <w:rPr>
                <w:rFonts w:ascii="Times New Roman" w:cs="Times New Roman" w:eastAsia="Times New Roman" w:hAnsi="Times New Roman"/>
                <w:sz w:val="13"/>
                <w:szCs w:val="13"/>
                <w:color w:val="auto"/>
                <w:w w:val="98"/>
              </w:rPr>
              <w:t>redeemable noncontrolling</w:t>
            </w:r>
          </w:p>
        </w:tc>
        <w:tc>
          <w:tcPr>
            <w:tcW w:w="8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14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4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stock under</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23,878</w:t>
            </w: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treasury</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(119,175)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(119,175)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(119,175)</w:t>
            </w:r>
          </w:p>
        </w:tc>
        <w:tc>
          <w:tcPr>
            <w:tcW w:w="0" w:type="dxa"/>
            <w:vAlign w:val="bottom"/>
          </w:tcPr>
          <w:p>
            <w:pPr>
              <w:spacing w:after="0"/>
              <w:rPr>
                <w:sz w:val="1"/>
                <w:szCs w:val="1"/>
                <w:color w:val="auto"/>
              </w:rPr>
            </w:pPr>
          </w:p>
        </w:tc>
      </w:tr>
      <w:tr>
        <w:trPr>
          <w:trHeight w:val="105"/>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Share repurchase excise</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0" w:type="dxa"/>
            <w:vAlign w:val="bottom"/>
          </w:tcPr>
          <w:p>
            <w:pPr>
              <w:spacing w:after="0"/>
              <w:rPr>
                <w:sz w:val="1"/>
                <w:szCs w:val="1"/>
                <w:color w:val="auto"/>
              </w:rPr>
            </w:pPr>
          </w:p>
        </w:tc>
      </w:tr>
      <w:tr>
        <w:trPr>
          <w:trHeight w:val="105"/>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Retirement of treasury</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(22,418)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(97,321)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w w:val="99"/>
              </w:rPr>
              <w:t>(585)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119,745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5"/>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69,891</w:t>
            </w: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41,126</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51,141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1,966,237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1,812,100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(317,345)</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3,461,503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5,449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3,466,952</w:t>
            </w: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000"/>
          </w:cols>
          <w:pgMar w:left="320" w:top="117" w:right="5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43"/>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28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38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21"/>
                <w:szCs w:val="2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Attributable</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to Common</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4"/>
                <w:szCs w:val="4"/>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right w:val="single" w:sz="8" w:color="auto"/>
            </w:tcBorders>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7"/>
                <w:szCs w:val="17"/>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1"/>
        </w:trPr>
        <w:tc>
          <w:tcPr>
            <w:tcW w:w="14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December 28, 2024</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41,126</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51,141</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511</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1,966,237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1,812,100</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(317,345)</w:t>
            </w: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3,461,503</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5,449</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3,466,952</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371</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(142,534)</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1,160</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145,562</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145,562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145,562</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declared to</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(7,794)</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6,400</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8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under</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treasury</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(360,108)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(360,108)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(360,108)</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Share repurchase excise</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0" w:type="dxa"/>
            <w:vAlign w:val="bottom"/>
          </w:tcPr>
          <w:p>
            <w:pPr>
              <w:spacing w:after="0"/>
              <w:rPr>
                <w:sz w:val="1"/>
                <w:szCs w:val="1"/>
                <w:color w:val="auto"/>
              </w:rPr>
            </w:pPr>
          </w:p>
        </w:tc>
      </w:tr>
      <w:tr>
        <w:trPr>
          <w:trHeight w:val="106"/>
        </w:trPr>
        <w:tc>
          <w:tcPr>
            <w:tcW w:w="1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80" w:type="dxa"/>
            <w:vAlign w:val="bottom"/>
            <w:shd w:val="clear" w:color="auto" w:fill="CCEEFF"/>
          </w:tcPr>
          <w:p>
            <w:pPr>
              <w:spacing w:after="0"/>
              <w:rPr>
                <w:sz w:val="9"/>
                <w:szCs w:val="9"/>
                <w:color w:val="auto"/>
              </w:rPr>
            </w:pPr>
          </w:p>
        </w:tc>
        <w:tc>
          <w:tcPr>
            <w:tcW w:w="960" w:type="dxa"/>
            <w:vAlign w:val="bottom"/>
            <w:tcBorders>
              <w:right w:val="single" w:sz="8" w:color="auto"/>
            </w:tcBorders>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4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Retirement of treasury</w:t>
            </w:r>
          </w:p>
        </w:tc>
        <w:tc>
          <w:tcPr>
            <w:tcW w:w="80" w:type="dxa"/>
            <w:vAlign w:val="bottom"/>
          </w:tcPr>
          <w:p>
            <w:pPr>
              <w:spacing w:after="0"/>
              <w:rPr>
                <w:sz w:val="10"/>
                <w:szCs w:val="10"/>
                <w:color w:val="auto"/>
              </w:rPr>
            </w:pPr>
          </w:p>
        </w:tc>
        <w:tc>
          <w:tcPr>
            <w:tcW w:w="96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(84,364)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(279,142)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363,527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4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71,083</w:t>
            </w: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41,263</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49,217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1,947,301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1,388,620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(171,783)</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3,164,630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5,301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3,169,931</w:t>
            </w: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67" w:right="57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4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1. DESCRIPTION OF BUSINESS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ind w:right="40"/>
        <w:spacing w:after="0" w:line="258" w:lineRule="auto"/>
        <w:rPr>
          <w:sz w:val="20"/>
          <w:szCs w:val="20"/>
          <w:color w:val="auto"/>
        </w:rPr>
      </w:pPr>
      <w:r>
        <w:rPr>
          <w:rFonts w:ascii="Times New Roman" w:cs="Times New Roman" w:eastAsia="Times New Roman" w:hAnsi="Times New Roman"/>
          <w:sz w:val="18"/>
          <w:szCs w:val="18"/>
          <w:color w:val="auto"/>
        </w:rPr>
        <w:t>Charles River Laboratories International, Inc. (the Company), together with its subsidiaries, is a full service, non-clinical global drug development partner. The Company has built upon its core competency of laboratory animal medicine and science (research model technologies) to develop a diverse portfolio of discovery and safety assessment services, both Good Laboratory Practice (GLP) and non-GLP, that enable the Company to support its clients from target identification through non-clinical development. The Company also provides a suite of products and services to support its clients’ manufacturing activities.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(loss) attributable to noncontrolling interests in its consolidated statements of income (loss) equal to the percentage of the economic or ownership interest retained in such entities by the respective noncontrolling parties. Redeemable noncontrolling interests, where the noncontrolling interest holders have the ability to require the Company to purchase the remaining interests, are classified in the mezzanine section of the consolidated balance sheets, which is presented above the equity section and below liabilities. Intercompany balances and transactions are eliminated in consolidation.</w:t>
      </w:r>
    </w:p>
    <w:p>
      <w:pPr>
        <w:spacing w:after="0" w:line="7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 this last occurred in fiscal year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reports its results in three reportable segments: Research Models and Services (RMS), Discovery and Safety Assessment (DSA), and Manufacturing Solutions (Manufacturing).</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RMS reportable segment includes the Research Models, Research Model Services, and Cell Solutions businesses. Research Models includes the commercial production and sale of small research models, as well as the supply of large research models. Research Model Services includes: Insourcing Solutions (IS), which provides colony management of its clients’ research operations (including recruitment, training, staffing, and management services) within our clients’ facilities and utilizing our Charles River Accelerator and Development Lab (CRADL™) offerings, which provides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Cell Solutions supplies controlled, consistent, customized primary cells and blood components derived from normal and mobilized peripheral blood and bone marrow as well as cells from disease state donors.</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Company’s DSA reportable segment includes discovery services and safety assessment services. The Company provides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(in research models) studies, laboratory support services, such as bioanalytical and strategic non-clinical consulting and program management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product development.</w:t>
      </w:r>
    </w:p>
    <w:p>
      <w:pPr>
        <w:spacing w:after="0" w:line="7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Company’s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generally accepted accounting principles in the United States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these consolidated financial statements, the Company is not aware of any specific event or circumstance that would require the Company to update estimates, judgments or revise the carrying value of any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The Company adopted this new standard on a prospective basis for fiscal year 2025 and is reflected in Note 13, “Income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350 - 40) - Targeted Improvements to the Accounting for Internal-Use Software.” ASU 2025-06 improves the operability of the guidance by removing all references to software development project stages so that the guidance is neutral to different software development methods, including the methods that entities may use to develop software in the future. The ASU is effective for fiscal years beginning after December 15, 2027, and interim reporting periods within those annual reporting periods. Early adoption is permitted, and the amendments in this ASU may be adopted using either a prospective transition approach, a modified transition approach or a retrospective transition approach. The Company is currently evaluating the impact this new standard will have on the consolidated financial statements and the related disclosures.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Receivables and Contract Assets.” ASU 2025-05 provides a practical expedient to assume that the current conditions as of the balance sheet date do not change for the remaining life of the asset if the expected credit losses were estimated under the reasonable and supportable approach. The ASU is effective for fiscal years beginning after December 15, 2025, and interim periods within those annual reporting periods. Early adoption is permitted, and if practical expedient is elected, the amendments in this update should be applied on a prospective basis. The Company has evaluated the impact this new standard will have and has determined that there will not be a material impact on the consolidated financial statements and the related disclosures.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the Company for annual periods beginning after December 15, 2026 and interim periods beginning after December 15, 2027, with early adoption permitted. The amendments in this ASU may be adopted using the prospective or retrospective methods. The Company is currently evaluating the method of adoption and the impact this new standard will have on the related disclosures in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include money market funds, time deposits and other investments with remaining maturities at the purchase date of three months or less.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with original maturities of greater than three months are reported as short-term investments.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Contract Assets, Net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records trade receivables and contract assets, net of an allowance for credit losses. An allowance for credit losses is established based on historical collection information, a review of major client accounts receivable balances, current economic conditions in the geographies in which it operates, and the Company’s expectations of future economic conditions that may affect the collectability of the recorded amounts. Amounts determined to be uncollectible are charged or written off against the allowance.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investments, trade receivables and contract assets. The Company places cash and cash equivalents and investments in various financial institutions with high credit rating and limits the amount of credit exposure to any one financial institution. Trade receivables and contract assets are primarily from clients in the pharmaceutical and biotechnology industries, as well as academic and government institutions. Concentrations of credit risk with respect to trade receivables and contract assets, which are typically unsecured, are limited due to the wide variety of customers using the Company’s products and services as well as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their dispersion across many geographic areas. No single client accounted for more than 4% of revenue in fiscal years 2025, 2024, or 2023 or trade receivables as of December 27, 2025 or December 28,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The Company has certain financial assets and liabilities recorded at fair value, which have been classified as Level 1, 2 or 3 within the fair value hierarchy:</w:t>
      </w:r>
    </w:p>
    <w:p>
      <w:pPr>
        <w:spacing w:after="0" w:line="72" w:lineRule="exact"/>
        <w:rPr>
          <w:sz w:val="20"/>
          <w:szCs w:val="20"/>
          <w:color w:val="auto"/>
        </w:rPr>
      </w:pPr>
    </w:p>
    <w:p>
      <w:pPr>
        <w:ind w:left="660" w:right="4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prices (unadjusted)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 yield curves and foreign currency spot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fair value hierarchy level is determined by asset and class based on the lowest level of significant input. The observability of inputs may change for certain assets or liabilities. This condition could cause an asset or liability to be reclassified between levels. The Company recognizes transfers between levels within the fair value hierarchy, if any, at the end of each quarter.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methodologies used for assets and liabilities measured or disclosed at fair value are as follows:</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 Valued at market prices determined through third-party pricing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forward contracts - Valued using market observable inputs, such as forward foreign exchange points and foreign exchanges rates;</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contracts - Valued using market observable inputs, such as interest rate yield curves;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policies - Valued at cash surrender value based on the fair value of underlying investments;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instruments - The book value of the Company’s revolving loans, which are variable rate loans carried at amortized cost, approximates the fair value based on current market pricing of similar debt. The book values of the Company’s Senior Notes, which are fixed rate debt, are carried at amortized cost. Fair values of the Senior Notes are based on quoted market prices and on borrowing rates available to the Company; and</w:t>
      </w:r>
    </w:p>
    <w:p>
      <w:pPr>
        <w:spacing w:after="0" w:line="6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 Valued based on a probability weighting of the future cash flows associated with the potential outcomes and certain option pricing models.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inventories consist of raw materials, work in process and finished product related primarily to small research models, large research models, Cell Solutions, Microbial Solutions, and CDMO products. Inventories are stated at the lower of cost or net realizable value. Cost is determined principally by the first-in, first-out method for a majority of the Company’s inventory and by average-cost for the remainder. For small models inventory, costs include direct materials such as feed and bedding, costs of personnel directly involved in the care of the models, and an allocation of facility overhead. For the large models inventory, costs are primarily the external cost paid to acquire the model along with certain direct materials, costs of personnel directly involved in the care of the models, and allocation of facility overhead costs. For Cell Solutions inventory, costs include direct materials, costs of personnel directly involved in the processing of products sold, and an allocation of facility overhead. For the Microbial Solutions and CDMO inventory, costs include direct materials, cost of personnel directly involved in the manufacturing and assembly of products sold, and an allocation of facility overhead. Inventory costs are charged to cost of goods sold or cost of services in the period the products or services are sold or provided to an external party. The Company analyzes its inventory levels on a quarterly basis and writes down inventory for which an excess amount is held or determined to be damaged, obsolete or otherwise unmarketable, with a corresponding charge to cost of products sold.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is stated at cost less accumulated depreciation. Major repairs which extend the useful life of an asset are capitalized. Routine repairs and maintenance are expensed as incurred. Leasehold improvements are amortized over the shorter of the estimated useful life of the asset or the lease term. Finance lease assets are amortized over the lease term, however, if ownership is transferred by the end of the finance lease, or there is a bargain purchase option, such finance lease assets are amortized over the useful life that would be assigned if such assets were owned. The Company capitalizes certain application development stage costs for internal use software. The Company also capitalizes costs related to specific upgrades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enhancements when it is probable the expenditures will result in additional functionality. Costs incurred during the preliminary project stages in addition to maintenance and training costs are expensed as incurred. Interest costs incurred during the construction of major capital projects are capitalized until the underlying asset is ready for its intended use, at which point the interest costs are amortized as depreciation expense over the life of the underlying asset.</w:t>
      </w:r>
    </w:p>
    <w:p>
      <w:pPr>
        <w:spacing w:after="0" w:line="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generally depreciates the cost of its property, plant and equipment using the straight-line method over the estimated useful lives of the respective assets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898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89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37"/>
        </w:trPr>
        <w:tc>
          <w:tcPr>
            <w:tcW w:w="89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r>
      <w:tr>
        <w:trPr>
          <w:trHeight w:val="186"/>
        </w:trPr>
        <w:tc>
          <w:tcPr>
            <w:tcW w:w="89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8980" w:type="dxa"/>
            <w:vAlign w:val="bottom"/>
          </w:tcPr>
          <w:p>
            <w:pPr>
              <w:spacing w:after="0"/>
              <w:rPr>
                <w:sz w:val="3"/>
                <w:szCs w:val="3"/>
                <w:color w:val="auto"/>
              </w:rPr>
            </w:pPr>
          </w:p>
        </w:tc>
        <w:tc>
          <w:tcPr>
            <w:tcW w:w="1460" w:type="dxa"/>
            <w:vAlign w:val="bottom"/>
            <w:gridSpan w:val="2"/>
          </w:tcPr>
          <w:p>
            <w:pPr>
              <w:spacing w:after="0"/>
              <w:rPr>
                <w:sz w:val="3"/>
                <w:szCs w:val="3"/>
                <w:color w:val="auto"/>
              </w:rPr>
            </w:pPr>
          </w:p>
        </w:tc>
      </w:tr>
      <w:tr>
        <w:trPr>
          <w:trHeight w:val="24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r>
      <w:tr>
        <w:trPr>
          <w:trHeight w:val="233"/>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w:t>
            </w:r>
          </w:p>
        </w:tc>
      </w:tr>
      <w:tr>
        <w:trPr>
          <w:trHeight w:val="25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3 - 20</w:t>
            </w:r>
          </w:p>
        </w:tc>
      </w:tr>
      <w:tr>
        <w:trPr>
          <w:trHeight w:val="233"/>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5 - 10</w:t>
            </w:r>
          </w:p>
        </w:tc>
      </w:tr>
      <w:tr>
        <w:trPr>
          <w:trHeight w:val="25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w:t>
            </w:r>
          </w:p>
        </w:tc>
      </w:tr>
      <w:tr>
        <w:trPr>
          <w:trHeight w:val="224"/>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w:t>
            </w:r>
          </w:p>
        </w:tc>
      </w:tr>
    </w:tbl>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changed useful life estimates to better reflect the estimated periods during which these assets will remain in service, effective for fiscal 2025. The estimated useful lives of machinery and equipment, which was previously 5 years increased to 7 years, and building improvements which was previously 10 years increased to 15 years. The effect of this change in estimate during fiscal year 2025 reduced depreciation expense by $18.1 million, reduced the net loss available to Charles River Laboratories International, Inc. common shareholders by $14.3 million and reduced the basic and diluted loss per share by approximately $0.29.</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disposes of property, plant and equipment, it removes the associated cost and accumulated depreciation from the related accounts on its consolidated balance sheet and includes any resulting gain or loss recorded in Other income (expense), net in the accompanying consolidated statements of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The Company allocates the amounts that it pays for each acquisition to the assets it acquires and liabilities it assumes based on their fair values at the dates of acquisition, including identifiable intangible assets and certain biological assets, which can represent a significant portion of the purchase price. The determination of the fair value of intangible and certain biological assets requires the use of significant judgment using management’s best estimates of inputs and assumptions that a market participant would use. Significant judgments include (i) the fair value; and (ii) whether such assets are amortizable or non-amortizable and, if the former, the period and the method by which the asset will be amortized. The Company utilizes commonly accepted valuation techniques, such as the income, cost, and market approaches as appropriate, in establishing the fair value of assets. Typically, key assumptions include projections of cash flows that arise from identifiable assets of acquired businesses as well as discount rates based on an analysis of the weighted average cost of capital, adjusted for specific risks associated with the assets.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recent acquisitions, customer relationship intangible assets (also referred to as client relationships) and certain biological assets are the most significant identifiable asset acquired. To determine the fair value of these acquired assets, the Company typically utilizes the multiple period excess earnings model (a commonly accepted valuation technique), which relies on the following key assumptions: projections of cash flows from the acquired entities, which includes future revenue, cost of revenue, operating income margins, customer attrition rates, and productivity rates; as well as discount rates based on a market participant’s weighted average cost of capital.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consideration for the Company’s acquisitions may include future payments that are contingent upon the occurrence of a particular event. The Company records an obligation for such contingent payments at fair value on the acquisition date. The Company estimates the fair value of contingent consideration obligations through valuation models, such as probability-weighted and option pricing models, that incorporate probability adjusted assumptions and simulations related to the achievement of the milestones and the likelihood of making related payments. The Company revalues these contingent consideration obligations each reporting period. Changes in the fair value of the contingent consideration obligations are recognized in the Company’s consolidated statements of income (loss) as a component of selling, general and administrative expenses. Changes in the fair value of the contingent consideration obligations can result from changes to one or multiple inputs, including adjustments to the discount rates and changes in the assumed probabilities of successful achievement of certain financial targets.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Discount rates in the Company’s valuation models represent a measure of the credit risk associated with settling the liability. The period over which the Company discounts its contingent obligations is typically based on when the contingent payments would be triggered. These fair value measurements are based on significant inputs not observable in the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records divestitures at fair value less cost to sell with any related gain or loss from sale recorded within Other income (expense) in the Company’s consolidated statements of income (loss). If the sale price includes contingent payments, these are fair valued using a probability weighted model. If the business divested is part of a reporting unit, goodwill from the reporting unit is reallocated based on the fair value of the divested business compared to the fair value of the reporting unit.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assets acquired and liabilities assumed when accounted for using the acquisition method of accounting. Goodwill is not amortized, but reviewed for impairment on an annual basis, during the fourth quarter, or more frequently if an event occurs or circumstances change that would more-likely-than-not reduce the fair value of the Company's reporting units below their carrying amounts.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the option to first assess qualitative factors to determine whether it is necessary to perform the quantitative impairment test. If the Company elects this option and believes, as a result of the qualitative assessment, that it is more-likely-than-not that the carrying value of goodwill is not recoverable, the quantitative impairment test is required; otherwise, no further testing is required. Alternatively, the Company may elect to not first assess qualitative factors and immediately perform the quantitative impairment test. In the quantitative test, the Company compares the fair value of its reporting units to their carrying values. The determination of the fair value of reporting units requires the use of significant judgment using the Company’s best estimates of inputs and assumptions that a market participant would use. Fair value is determined by using a weighted combination of a market-based approach and an income approach, as this combination is deemed to be the most indicative of fair value in an orderly transaction between market participants. Under the market-based approach, the Company utilizes entity specific information about the Company as well as publicly available industry information to determine earnings multiples and sales multiples that are used to value the Company’s reporting units. Under the income approach, fair value is determined based on the estimated future cash flows of each reporting unit, discounted by an estimated weighted-average cost of capital, which reflects the overall level of inherent risk of the reporting unit and the rate of return an outside investor would expect to earn. If the carrying values of the net assets assigned to the reporting units exceed the fair values of the reporting units an impairment loss equal to the difference would be recorded.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of Long-Lived Assets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Long-lived assets to be held and used are amortized or depreciated over their useful life or over the pattern in which the economic benefits are utilized and are reviewed for impairment whenever events or changes in circumstances indicate that the carrying amount of the assets or asset group may not be recoverable. Determination of recoverability is based on an estimate of undiscounted future cash flows resulting from the use of the asset or asset group and where applicable, its eventual disposition. In the event that such cash flows are not expected to be sufficient to recover the carrying amount of the assets, the assets are written-down to their fair values.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to be disposed of are carried at fair value less costs to sell.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Venture Capital Investments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invests in several venture capital funds that invest in start-up companies, primarily in the life sciences industry. The Company’s ownership interest in these funds ranges from less than 1% to approximately 20%. The Company accounts for the investments in limited partnerships (LPs) and limited liability corporations (LLCs), which are variable interest entities, under the equity method of accounting. For publicly held investments in the LPs and LLCs, the Company adjusts for changes in fair market value based on reported share holdings at the end of each fiscal quarter. The Company is not the primary beneficiary because it has no power to direct the activities that most significantly affect the LPs’ and LLCs’ economic performance.</w:t>
      </w:r>
    </w:p>
    <w:p>
      <w:pPr>
        <w:spacing w:after="0" w:line="75"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7"/>
          <w:szCs w:val="17"/>
          <w:color w:val="auto"/>
        </w:rPr>
        <w:t>Under the equity method of accounting, the Company’s portion of the investment gains and losses and impairments, as reported in the fund’s financial statements on a quarterly lag each reporting period, is recorded in Other income (expense), net in the accompanying consolidated statements of income (loss). In addition, the Company adjusts the carrying value of these investments to reflect its estimate of changes to fair value since the fund’s financial statements are based on information from the fund’s management team, market prices of known public holdings of the fund, and other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Equity Investments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invests, with minority positions, directly in equity of predominantly privately held companies that are reported either at fair value or under the equity method of accounting, as appropriate. Equity investments that do not have readily determinable fair values are generally recorded at cost minus impairment, if any, plus or minus changes resulting from</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observable price changes in orderly transactions for the identical or a similar investment of the same investee. Gains and losses and impairments from strategic equity investments are recorded in Other income (expense), net in the accompanying consolidated statements of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Contracts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including changes to interest rates and currency exchange rates. The company uses derivative instruments primarily to manage currency exchange and interest rate risks. The Company recognizes derivative instruments as either assets or liabilities and measures those instruments at fair value. If a derivative is a hedge, depending on the nature of the hedge, changes in the fair value of the derivative are either offset against the change in fair value of the hedged item through earnings or recognized in other comprehensive items until the hedged item is recognized in earnings. Derivatives that are not designated as hedges are recorded at fair value through earnings.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a cash flow hedge, the gain or loss on the derivative is reported as a component of other comprehensive items and reclassified into earnings in the same period or periods during which the hedged transaction affects earnings and is presented in the same income statement line item as the earnings effect of the hedged item. The Company uses an interest rate swap to manage interest rate fluctuation related to floating rate borrowings under the Credit Facility.</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uses short-term forward currency exchange contracts primarily to hedge certain balance sheet and operational exposures resulting from changes in currency exchange rates, predominantly intercompany loans. The currency-exchange contracts principally hedge transactions denominated in Canadian dollars and euros. The Company does not hold or engage in transactions involving derivative instruments for purposes other than risk management.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 Insurance Contracts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Investments in life insurance contracts are recorded at cash surrender value. The initial investment is remeasured based on fair value of underlying investments or contractual value each reporting period. Gains and losses from life insurance contracts are recorded in Other income (expense), net in the accompanying consolidated statements of income (loss). Investments in and redemptions of these life insurance contracts are reported as cash flows from investing activities in the consolidated statement of cash flows. The Company held 44 contracts at December 27, 2025 with a face value of $104.6 million and 44 contracts with a face value of $91.3 million at December 28, 2024, which are recorded in Other assets in the accompanying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lease commencement date based on the present value of the minimum future lease payments.</w:t>
      </w:r>
    </w:p>
    <w:p>
      <w:pPr>
        <w:spacing w:after="0" w:line="8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Company leases laboratory, production, and office space (real estate), as well as land, vehicles and certain equipment under non-cancellable operating and finance leases. The carrying value of the Company’s right-of-use lease assets is substantially concentrated in its real estate leases, while the volume of lease agreements is primarily concentrated in vehicles and equipment leases. The Company’s policy is to not record leases with an original term of twelve months or less on the consolidated balance sheets. The Company recognizes lease expense for these short-term leases on a straight-line basis over the lease term.</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Total contract consideration is allocated to the combined fixed lease and non-lease component. This policy election applies consistently to all asset classes under lease agreements.</w:t>
      </w:r>
    </w:p>
    <w:p>
      <w:pPr>
        <w:spacing w:after="0" w:line="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Most real estate leases contain clauses for renewal at the Company’s option with renewal terms that generally extend the lease term from 1 to 5 years. Certain lease agreements contain options to purchase the leased property and options to terminate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lease. Payments to be made in option periods are recognized as part of the right-of-use lease assets and lease liabilities when it is reasonably certain that the option to extend the lease will be exercised or the option to terminate the lease will not be exercised, or is not at the Company’s option. The Company determines whether the reasonably certain threshold is met by considering contract-, asset-, market-, and entity-based factors.</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portfolio approach is applied to certain lease contracts with similar characteristics. The Company’s lease agreements do not contain any significant residual value guarantees or material restrictive covenants imposed by the leases.</w:t>
      </w:r>
    </w:p>
    <w:p>
      <w:pPr>
        <w:spacing w:after="0" w:line="54" w:lineRule="exact"/>
        <w:rPr>
          <w:sz w:val="20"/>
          <w:szCs w:val="20"/>
          <w:color w:val="auto"/>
        </w:rPr>
      </w:pPr>
    </w:p>
    <w:p>
      <w:pPr>
        <w:ind w:right="1260"/>
        <w:spacing w:after="0" w:line="375" w:lineRule="auto"/>
        <w:rPr>
          <w:sz w:val="20"/>
          <w:szCs w:val="20"/>
          <w:color w:val="auto"/>
        </w:rPr>
      </w:pPr>
      <w:r>
        <w:rPr>
          <w:rFonts w:ascii="Times New Roman" w:cs="Times New Roman" w:eastAsia="Times New Roman" w:hAnsi="Times New Roman"/>
          <w:sz w:val="18"/>
          <w:szCs w:val="18"/>
          <w:color w:val="auto"/>
        </w:rPr>
        <w:t xml:space="preserve">The Company subleases a limited number of lease arrangements. Sublease activity is not material to the consolidated financial statements. </w:t>
      </w:r>
      <w:r>
        <w:rPr>
          <w:rFonts w:ascii="Times New Roman" w:cs="Times New Roman" w:eastAsia="Times New Roman" w:hAnsi="Times New Roman"/>
          <w:sz w:val="18"/>
          <w:szCs w:val="18"/>
          <w:b w:val="1"/>
          <w:bCs w:val="1"/>
          <w:i w:val="1"/>
          <w:iCs w:val="1"/>
          <w:color w:val="auto"/>
        </w:rPr>
        <w:t>Stock-Based Compensation</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grants stock options, restricted stock units (RSUs), and performance share units (PSUs) to employees and stock options and RSUs to non-employee directors under stock-based compensation plans. Stock-based compensation is recognized as an expense in the consolidated statements of income (loss) based on the grant date fair value, adjusted for forfeitures when they occur, over the requisite service period.</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stock options and RSUs that vest based on service conditions, the Company uses the straight-line method to allocate compensation expense to reporting periods. Where awards are made with non-substantive vesting periods and a portion of the award continues to vest after the employee’s eligible retirement, the Company recognizes expense based on the period from the grant date to the date on which the employee is retirement eligible. The Company records the expense for PSU grants subject to performance and/or market conditions using the accelerated attribution method over the remaining service period when management determines that achievement of the performance-based milestone is probable.</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fair value of stock options granted is calculated using the Black-Scholes option-pricing model and the fair value of PSUs is estimated using a lattice model with a Monte Carlo simulation, both of which require the use of subjective assumptions including volatility and expected term, among others. The expected volatility assumption is typically determined using the historical volatility of the Company’s common stock over the expected life of the stock-based award. The expected term is determined using historical option exercise activity. The fair value of RSUs is based on the market value of the Company’s common stock on the date of grant.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obligations under the terms of a contract are satisfied, which occurs when control of the promised products or services is transferred to customers. Revenue is measured as the amount of consideration the Company expects to receive in exchange for transferring products or services to a customer (“transaction price”).</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the extent the transaction price includes variable consideration, the Company estimates the amount of variable consideration that should be included in the transaction price utilizing the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 Sales, value add, and other taxes collected on behalf of third parties are excluded from revenue.</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Generally, the Company does not extend payment terms beyond one year. Applying the practical expedient, the Company does not assess whether a significant financing component exists if the period between when the Company performs its obligations under the contract and when the customer pays is one year or less. The Company’s contracts do not generally contain significant financing components.</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impact on the existing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transaction price and measure of progress for the performance obligation to which it relates is generally recognized as an adjustment to revenue (either as an increase in or a reduction of revenue) on a cumulative catch-up basis.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Product revenue is generally recognized when the customer obtains control of the Company’s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the Company generally measures its progress using either cost-to-cost (input method) or right-to-invoice (output method). The Company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the Company’s performance to date.</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(client receivables), contract assets (unbilled revenue), and contract liabilities (current and long-term deferred revenue and customer contract deposits) on the consolidated balance sheets. The Company’s payment terms are generally 30 days in the United States and consistent with prevailing practice in international markets. A contract asset is recorded when a right to consideration in exchange for goods or services transferred to a customer is conditioned other than the passage of time. Client receivables are recorded separately from contract assets since only the passage of time is required before consideration is due. A contract liability is recorded when consideration is received, or such consideration is unconditionally due, from a customer prior to transferring goods or services to the customer under the terms of a contract. Contract liabilities are recognized as revenue after control of the products or services is transferred to the customer and all revenue recognition criteria have been met. Cumulative catch-up adjustments to revenue are periodically recorded that affect the corresponding contract asset or contract liability, including adjustments arising from a change in the measure of progress, a change in an estimate of the transaction price (including any changes in the assessment of whether an estimate of variable consideration), or a contract modification.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includes federal, state, local and foreign taxes. Income taxes are accounted for under the liability method. Deferred tax assets and liabilities are recognized for the expected future tax consequences of temporary differences between the financial statements carrying amounts and their respective tax basis. The Company measures deferred tax assets and liabilities using the enacted tax rates in effect when the temporary differences are expected to be settled. The Company evaluates the realizability of its deferred tax assets and establishes a valuation allowance when it is more likely than not that all or a portion of deferred tax assets will not be realized.</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also accrues for potential interest and penalties related to unrecognized tax benefits in income tax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Contracts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Foreign currency contracts are recorded at fair value in the Company’s consolidated balance sheets and are not designated as hedging instruments. Any gains or losses on forward contracts associated with intercompany loans are recognized immediately in Other income (expense), net and are largely offset by the remeasurement of the underlying intercompany loan.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Company’s subsidiaries that transact in a functional currency other than the U.S. dollar, assets and liabilities are translated at current rates of exchange as of the balance sheet date. Income and expense items are translated at the average foreign exchange rates for the period. Adjustments resulting from the translation of the financial statements of the Company’s foreign operations into U.S. dollars are excluded from the determination of net income (loss) and are recorded in accumulated other comprehensive income (loss), a separate component of equity.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Plans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the funded status of its defined benefit pension and other post-retirement benefit plans as an asset or liability. This amount is defined as the difference between the fair value of plan assets and the benefit obligation. The Company measures plan assets and benefit obligations as of its fiscal year end.</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key assumptions used to calculate benefit obligations and related pension costs include expected long-term rate of return on plan assets, withdrawal and mortality rates, expected rate of increase in employee compensation levels and a discount rate. Assumptions are determined based on the Company’s data and appropriate market indicators, and evaluated each year as of the plan’s measurement date.</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expected long-term rate of return on plan assets reflects the average rate of earnings expected on the funds invested, or to be invested, to provide for the benefits included in the projected benefit obligations. 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rate of compensation increase reflects the expected annual salary increases for the plan participants based on historical experience and the current employee compensation strategy.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required to recognize as a component of Other comprehensive income (loss), net of tax, the actuarial gains or losses and prior service costs or credits that arise but were not previously required to be recognized as components of net periodic benefit cost. Other comprehensive income (loss) is adjusted as these amounts are later recognized in income as components of net periodic benefit cost.</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records the service cost component of the net periodic benefit cost within Cost of services provided and Selling, general, and administrative expenses and all other components of net periodic benefit cost within Other income (expense), net in the consolidated statements of income (loss).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recognizes pension settlement gains or losses in the period when all of the following settlement criteria are met: there is an irrevocable action, the Company is relieved of primary responsibility for a benefit obligation, and significant risks related to the obligation and the assets used to effect the settlement are eliminated.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calculated by dividing net income (loss) attributable to common shareholders by the weighted-average number of common shares outstanding during the period. Except where the result would be anti-dilutive to income from continuing operations, diluted earnings (loss) per share is computed using the treasury stock method, assuming the exercise of stock options and the vesting of RSUs, or evaluating the performance conditions for PSUs to assess whether the conditions have been met, as well as their related income tax effects.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periodically retires treasury shares acquired through share repurchases, and returns those shares to the status of authorized but unissued. The Company accounts for treasury stock transactions under the cost method. For each reacquisition of common stock, the number of shares and the acquisition price for those shares is added to the existing treasury stock count and total value. Thus, the average cost per share is re-averaged each time shares are acquired. When treasury shares are retired, the Company allocates the excess of the repurchase price over the par value of shares acquired to both retained earnings and additional paid-in-capital. The portion allocated to additional paid-in-capital is determined by applying a percentage, determined by dividing the number of shares to be retired by the number of shares issued, to the balance of additional paid-in-capital as of the retirement date.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makes strategic acquisitions designed to expand the portfolio of products and services to support the drug discovery and development continuum. The Company maintains an acquisition strategy that focuses on augmenting internal growth of existing businesses with complementary acquisitions. While the Company did not enter into any acquisitions in fiscal years 2025 or 2024, acquisition activity subsequent to fiscal year 2025 and for fiscal year 2023 are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PathoQuest SAS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9, 2026, the Company announced it has exercised its option to acquire the remaining approximate 79% equity interest in PathoQuest SAS (PathoQuest) for €51.6 million (or approximately $60.0 million based on current exchange rates), subject to customary closing adjustments. PathoQuest is a provider of next-generation sequencing solutions for manufacturing quality-control testing for biopharmaceutical companies. The proposed transaction is expected to close in the first quarter of 2026. The acquisition is expected to be funded through a combination of available cash and proceeds from the Credit Facility. This business will be reported as part of the Manufacturing reportable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K.F. (Cambodia) Ltd.</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14, 2026, the Company completed the acquisition of certain assets of K.F. (Cambodia) Ltd (KF)., a leading supplier of non-human primates (NHPs) located in Cambodia. The purchase price of KF was $510.0 million, of which $335.0 million was paid up-front, with the remaining $175.0 million deferred until the completion of certain post-close conditions. The acquisition was funded through a combination of available cash and proceeds from the Company’s Credit Facility. This business will be reported as part of the Company’s DSA reportable segment for NHPs vertically integrated into the DSA supply chain and the RMS reportable segment for those NHPs sold to third party customers. Due to the limited time between the acquisition date and the filing of this Annual Report on Form 10-K, it is not practicable for the Company to disclose the preliminary allocation of the purchase price to assets acquired and liabilities assumed.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 Group</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30, 2023, the Company completed the acquisition of an additional 41% equity interest of Noveprim Group (Noveprim), a leading supplier of non-human primates (NHPs) located in Mauritius, resulting in a 90% controlling interest. The Company had previously acquired a 49% equity interest in 2022 for $90.0 million plus additional contingent payments up to $5.0 million based on future performance. The total consideration allocable to the Noveprim acquisition is $392.4 million, which includes $144.6 million additional cash paid for the 41% equity interest, elimination of historical activity and intercompany balances of $209.5 million which includes a remeasurement gain on the 49% equity investment of $113.0 million, contingent consideration of $33.3 million, deferred purchase price of $12.0 million payable from 2024 through 2027, offset by post-closing adjustments for working capital of $7.0 million. The purchase price reflected an agreement with the seller on working capital and debt, which was adjusted from $13.8 million to $7.0 million during fiscal year 2024. As a result of measurement period adjustments to the purchase price, goodwill and remeasurement gains on the previous 49% equity investment during fiscal year 2024, were increased by $17.6 million and $9.8 million, respectively. Remeasurement gains are recorded in Other income (expense), net, within the consolidated statements of income (loss). The contingent consideration fair value is estimated using a Monte Carlo Simulation model and the maximum contingent contractual payments are up to $55.0 million based on future performance and milestone achievements from fiscal years 2023 through 2025. The Company has the call option right to purchase the remaining 10% equity interest up until one month after the sixth anniversary of closing the 41% equity interest. On the first anniversary of the expiration of the call option, a 12-month put option will be triggered giving the seller the right to require the Company to acquire the remaining shares of the seller. The redemption price for the call/put is fixed and ranges from $47.0 million to $54.0 million depending on when exercised. The noncontrolling interest is classified as a redeemable noncontrolling interest in the mezzanine section of the consolidated balance sheets. The acquisition was funded through a combination of available cash and proceeds from the Company’s Credit Facility. This business is reported as part of the Company’s DSA reportable segment for NHPs vertically integrated into the DSA supply chain and the RMS reportable segment for those NHPs sold to third party customers. The Company incurred transaction and integration costs in connection with the acquisition of $1.2 million, $1.5 million and $4.2 million during fiscal years 2025, 2024, and 2023 respectively, which was included in Selling, general and administrative expenses within the consolidated statements of income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SAMDI Tech, Inc.</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27, 2023, the Company acquired SAMDI Tech, Inc., (SAMDI), a leading provider of high-quality, label-free high-throughput screening (HTS) solutions for drug discovery research. The acquisition of SAMDI will provide clients with seamless access to the premier, label-free HTS MS platform and create a comprehensive, library of drug discovery solutions. The purchase price of SAMDI was $62.8 million, net of $0.4 million in cash, inclusive of a 20% strategic equity interest previously owned by the Company of $12.6 million. The acquisition was funded through a combination of available cash and proceeds from the Company’s Credit Facility. This business is reported as part of the Company’s DSA reportable segment. No significant transaction and integration costs were incurred with the acquisition for the fiscal years 2025 and 2024. The Company incurred transaction and integration costs in connection with the acquisition of $0.9 million during fiscal year 2023, which was included in Selling, general and administrative expenses within the consolidated statements of income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for acquisitions during fiscal year 2023 was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Noveprim Group</w:t>
            </w:r>
          </w:p>
        </w:tc>
        <w:tc>
          <w:tcPr>
            <w:tcW w:w="180" w:type="dxa"/>
            <w:vAlign w:val="bottom"/>
          </w:tcPr>
          <w:p>
            <w:pPr>
              <w:spacing w:after="0"/>
              <w:rPr>
                <w:sz w:val="16"/>
                <w:szCs w:val="16"/>
                <w:color w:val="auto"/>
              </w:rPr>
            </w:pP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SAMDI Tech, Inc.</w:t>
            </w:r>
          </w:p>
        </w:tc>
      </w:tr>
      <w:tr>
        <w:trPr>
          <w:trHeight w:val="23"/>
        </w:trPr>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196"/>
        </w:trPr>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4"/>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(excluding cash)</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37,129</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33,070</w:t>
            </w:r>
          </w:p>
        </w:tc>
      </w:tr>
      <w:tr>
        <w:trPr>
          <w:trHeight w:val="216"/>
        </w:trPr>
        <w:tc>
          <w:tcPr>
            <w:tcW w:w="7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long-term assets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 (Long-term)</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Redeemable noncontrolling interest </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392,404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840" w:right="160" w:hanging="166"/>
        <w:spacing w:after="0" w:line="364" w:lineRule="auto"/>
        <w:tabs>
          <w:tab w:leader="none" w:pos="810"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goodwill resulting from these transactions is primarily attributable to the potential growth of the Company’s segments from new customers introduced to the acquired businesses or synergies to be realized from acquiring an internal supplier servicing the DSA business and the assembled workforce of the acquirees, thus is not deductible for tax purposes.</w:t>
      </w:r>
    </w:p>
    <w:p>
      <w:pPr>
        <w:spacing w:after="0" w:line="3" w:lineRule="exact"/>
        <w:rPr>
          <w:rFonts w:ascii="Times New Roman" w:cs="Times New Roman" w:eastAsia="Times New Roman" w:hAnsi="Times New Roman"/>
          <w:sz w:val="17"/>
          <w:szCs w:val="17"/>
          <w:color w:val="auto"/>
          <w:vertAlign w:val="superscript"/>
        </w:rPr>
      </w:pPr>
    </w:p>
    <w:p>
      <w:pPr>
        <w:ind w:left="800" w:hanging="126"/>
        <w:spacing w:after="0"/>
        <w:tabs>
          <w:tab w:leader="none" w:pos="80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long-term assets acquired from the Noveprim acquisition include $167.8 million of biological assets, which will be amortized over an estimated eight-year useful life.</w:t>
      </w:r>
    </w:p>
    <w:p>
      <w:pPr>
        <w:spacing w:after="0" w:line="21" w:lineRule="exact"/>
        <w:rPr>
          <w:rFonts w:ascii="Times New Roman" w:cs="Times New Roman" w:eastAsia="Times New Roman" w:hAnsi="Times New Roman"/>
          <w:sz w:val="16"/>
          <w:szCs w:val="16"/>
          <w:color w:val="auto"/>
          <w:vertAlign w:val="superscript"/>
        </w:rPr>
      </w:pPr>
    </w:p>
    <w:p>
      <w:pPr>
        <w:ind w:left="800" w:hanging="126"/>
        <w:spacing w:after="0" w:line="224" w:lineRule="auto"/>
        <w:tabs>
          <w:tab w:leader="none" w:pos="80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12 – Equity and Noncontrolling Interests for further a description of the 10% noncontrolling interest fair value.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definite-lived intangible assets acquired during fiscal year 2023 were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Noveprim Group</w:t>
            </w:r>
          </w:p>
        </w:tc>
        <w:tc>
          <w:tcPr>
            <w:tcW w:w="18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SAMDI Tech, Inc.</w:t>
            </w:r>
          </w:p>
        </w:tc>
      </w:tr>
      <w:tr>
        <w:trPr>
          <w:trHeight w:val="23"/>
        </w:trPr>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00" w:type="dxa"/>
            <w:vAlign w:val="bottom"/>
            <w:shd w:val="clear" w:color="auto" w:fill="CCEEFF"/>
          </w:tcPr>
          <w:p>
            <w:pPr>
              <w:spacing w:after="0"/>
              <w:rPr>
                <w:sz w:val="17"/>
                <w:szCs w:val="17"/>
                <w:color w:val="auto"/>
              </w:rPr>
            </w:pPr>
          </w:p>
        </w:tc>
        <w:tc>
          <w:tcPr>
            <w:tcW w:w="3220" w:type="dxa"/>
            <w:vAlign w:val="bottom"/>
            <w:gridSpan w:val="4"/>
            <w:shd w:val="clear" w:color="auto" w:fill="CCEEFF"/>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23,400</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w:t>
            </w:r>
          </w:p>
        </w:tc>
      </w:tr>
      <w:tr>
        <w:trPr>
          <w:trHeight w:val="212"/>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33,070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14"/>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Amortization Life</w:t>
            </w:r>
          </w:p>
        </w:tc>
        <w:tc>
          <w:tcPr>
            <w:tcW w:w="2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1300"/>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6660" w:firstLine="8"/>
        <w:spacing w:after="0" w:line="377"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reportable segment and timing of transfer of products or services: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3"/>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389,091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380,899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377,947</w:t>
            </w:r>
          </w:p>
        </w:tc>
      </w:tr>
      <w:tr>
        <w:trPr>
          <w:trHeight w:val="25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456,991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448,478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414,396</w:t>
            </w:r>
          </w:p>
        </w:tc>
      </w:tr>
      <w:tr>
        <w:trPr>
          <w:trHeight w:val="220"/>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RMS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829,377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792,343</w:t>
            </w:r>
          </w:p>
        </w:tc>
      </w:tr>
      <w:tr>
        <w:trPr>
          <w:trHeight w:val="19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240"/>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2,400,414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2,446,751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2,611,564</w:t>
            </w:r>
          </w:p>
        </w:tc>
      </w:tr>
      <w:tr>
        <w:trPr>
          <w:trHeight w:val="24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r>
      <w:tr>
        <w:trPr>
          <w:trHeight w:val="220"/>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DSA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2,402,891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2,451,280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2,615,623</w:t>
            </w:r>
          </w:p>
        </w:tc>
      </w:tr>
      <w:tr>
        <w:trPr>
          <w:trHeight w:val="19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240"/>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407,474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381,942</w:t>
            </w:r>
          </w:p>
        </w:tc>
      </w:tr>
      <w:tr>
        <w:trPr>
          <w:trHeight w:val="24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382,727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361,858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339,501</w:t>
            </w:r>
          </w:p>
        </w:tc>
      </w:tr>
      <w:tr>
        <w:trPr>
          <w:trHeight w:val="220"/>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Manufacturing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769,332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721,443</w:t>
            </w:r>
          </w:p>
        </w:tc>
      </w:tr>
      <w:tr>
        <w:trPr>
          <w:trHeight w:val="238"/>
        </w:trPr>
        <w:tc>
          <w:tcPr>
            <w:tcW w:w="4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4,015,382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4,049,989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client receivables, contract assets, and contract liabilities from contracts with customers: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from contracts with customers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receivables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518,728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527,705</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200,591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211,511</w:t>
            </w: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719,319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739,216</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w:t>
            </w:r>
          </w:p>
        </w:tc>
      </w:tr>
      <w:tr>
        <w:trPr>
          <w:trHeight w:val="24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708,856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720,915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from contracts with customers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210,418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248,322</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deferred revenue (included in Other long-term liabilities)</w:t>
            </w:r>
          </w:p>
        </w:tc>
        <w:tc>
          <w:tcPr>
            <w:tcW w:w="180" w:type="dxa"/>
            <w:vAlign w:val="bottom"/>
          </w:tcPr>
          <w:p>
            <w:pPr>
              <w:spacing w:after="0"/>
              <w:rPr>
                <w:sz w:val="20"/>
                <w:szCs w:val="20"/>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34,291</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 deposits (included in Other 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106,599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89,446</w:t>
            </w:r>
          </w:p>
        </w:tc>
      </w:tr>
    </w:tbl>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Approximately 90% of unbilled revenue as of December 28, 2024, which was $212 million, was billed during fiscal year 2025. Approximately 90% of unbilled revenue as of December 30, 2023, which was $228 million, was billed during fiscal year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80% of contract liabilities as of December 28, 2024, which was $283 million were recognized as revenue during fiscal year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80% of contract liabilities as of December 30, 2023, which was $273 million, were recognized as revenue during fiscal year 2024.</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$43 million and $38 million of unpaid advanced client billings from both client receivables and deferred revenue in the accompanying consolidated balance sheets as of December 27, 2025 and December 28, 2024, respectively.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of the Company’s allowance for credit losses: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5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center"/>
              <w:ind w:left="823"/>
              <w:spacing w:after="0"/>
              <w:rPr>
                <w:sz w:val="20"/>
                <w:szCs w:val="20"/>
                <w:color w:val="auto"/>
              </w:rPr>
            </w:pPr>
            <w:r>
              <w:rPr>
                <w:rFonts w:ascii="Times New Roman" w:cs="Times New Roman" w:eastAsia="Times New Roman" w:hAnsi="Times New Roman"/>
                <w:sz w:val="16"/>
                <w:szCs w:val="16"/>
                <w:color w:val="auto"/>
                <w:w w:val="99"/>
              </w:rPr>
              <w:t>25,722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11,278</w:t>
            </w: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left="823"/>
              <w:spacing w:after="0"/>
              <w:rPr>
                <w:sz w:val="20"/>
                <w:szCs w:val="20"/>
                <w:color w:val="auto"/>
              </w:rPr>
            </w:pPr>
            <w:r>
              <w:rPr>
                <w:rFonts w:ascii="Times New Roman" w:cs="Times New Roman" w:eastAsia="Times New Roman" w:hAnsi="Times New Roman"/>
                <w:sz w:val="16"/>
                <w:szCs w:val="16"/>
                <w:color w:val="auto"/>
                <w:w w:val="99"/>
              </w:rPr>
              <w:t>14,774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18,225</w:t>
            </w:r>
          </w:p>
        </w:tc>
      </w:tr>
      <w:tr>
        <w:trPr>
          <w:trHeight w:val="24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Reductions</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ind w:left="783"/>
              <w:spacing w:after="0"/>
              <w:rPr>
                <w:sz w:val="20"/>
                <w:szCs w:val="20"/>
                <w:color w:val="auto"/>
              </w:rPr>
            </w:pPr>
            <w:r>
              <w:rPr>
                <w:rFonts w:ascii="Times New Roman" w:cs="Times New Roman" w:eastAsia="Times New Roman" w:hAnsi="Times New Roman"/>
                <w:sz w:val="16"/>
                <w:szCs w:val="16"/>
                <w:color w:val="auto"/>
              </w:rPr>
              <w:t>(22,195)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(3,781)</w:t>
            </w: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823"/>
              <w:spacing w:after="0"/>
              <w:rPr>
                <w:sz w:val="20"/>
                <w:szCs w:val="20"/>
                <w:color w:val="auto"/>
              </w:rPr>
            </w:pPr>
            <w:r>
              <w:rPr>
                <w:rFonts w:ascii="Times New Roman" w:cs="Times New Roman" w:eastAsia="Times New Roman" w:hAnsi="Times New Roman"/>
                <w:sz w:val="16"/>
                <w:szCs w:val="16"/>
                <w:color w:val="auto"/>
                <w:w w:val="99"/>
              </w:rPr>
              <w:t>18,301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25,722</w:t>
            </w: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provision expenses were $3.7 million, $12.9 million, and $18.2 million in fiscal years 2025, 2024, and 2023, respectively and include recoveries of balances previously written off, which are excluded from the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discloses the aggregate amount of transaction price that is allocated to performance obligations that have not yet been satisfied as of December 27, 2025.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December 27, 2025 was $667.1 million. The Company will recognize revenues for these performance obligations as they are satisfied, approximately 50% of which is expected to occur within the next twelve months and the remainder recognized thereafter during the remaining contract term.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Performance Obligations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 and recorded within service revenue. The Company recognized $48.9 million, $69.0 million, and $93.1 million in lease revenue in fiscal years 2025, 2024, and 2023, respectively. Due to the nature of these arrangements and timing of the contractual lease term, the remaining revenue to be recognized related to these lease performance obligations is not material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AND GEOGRAPHIC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operates in three reportable segments (RMS, DSA, and Manufacturing). The reportable segments comprise the structure used by the Company’s Chief Executive Officer, who is the Chief Operating Decision Maker (CODM), to make key operating decisions and assess performance. These segments are strategic business units with differing products and services.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CODM evaluates the segments operating performance based on operating income (loss). Operating income (loss) is the measure of profit or loss regularly provided to and used by the CODM to assess performance and allocate resources. Operating income (loss) is defined as revenue less costs of revenue; selling, general, and administrative expenses; amortization of intangible assets; goodwill impairments; and intangible asset impairments. For each segment, the CODM uses operating income (loss) in the annual budgeting and quarterly forecasting process when comparing to actual results. Asset information on a reportable segment basis is not disclosed as this information is not separately identified and internally reported to the Company’s CODM. The following table presents the results of operations by reportable segment: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5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6"/>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RMS</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792,343</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509,970</w:t>
            </w: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105,965</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154,666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DSA</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2,402,891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2,451,280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2,615,623</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1,697,166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1,675,472</w:t>
            </w: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263,770</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70,305</w:t>
            </w:r>
          </w:p>
        </w:tc>
      </w:tr>
      <w:tr>
        <w:trPr>
          <w:trHeight w:val="196"/>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442,510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606,076</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3"/>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721,443</w:t>
            </w: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441,411</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146,311</w:t>
            </w: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45,392</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Unallocated Corporate </w:t>
            </w:r>
            <w:r>
              <w:rPr>
                <w:rFonts w:ascii="Times New Roman" w:cs="Times New Roman" w:eastAsia="Times New Roman" w:hAnsi="Times New Roman"/>
                <w:sz w:val="18"/>
                <w:szCs w:val="18"/>
                <w:b w:val="1"/>
                <w:bCs w:val="1"/>
                <w:color w:val="auto"/>
                <w:vertAlign w:val="superscript"/>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259,676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231,810</w:t>
            </w:r>
          </w:p>
        </w:tc>
      </w:tr>
      <w:tr>
        <w:trPr>
          <w:trHeight w:val="238"/>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(231,810)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140" w:firstLine="8"/>
        <w:spacing w:after="0"/>
        <w:tabs>
          <w:tab w:leader="none" w:pos="132"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Operating loss for unallocated corporate consists of costs associated with departments such as senior executives, corporate accounting, legal, tax, human resources, treasury, and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141605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60" w:top="117" w:right="39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4"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RMS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792,343</w:t>
            </w: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DSA</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2,402,891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2,451,280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2,615,623</w:t>
            </w:r>
          </w:p>
        </w:tc>
        <w:tc>
          <w:tcPr>
            <w:tcW w:w="0" w:type="dxa"/>
            <w:vAlign w:val="bottom"/>
          </w:tcPr>
          <w:p>
            <w:pPr>
              <w:spacing w:after="0"/>
              <w:rPr>
                <w:sz w:val="1"/>
                <w:szCs w:val="1"/>
                <w:color w:val="auto"/>
              </w:rPr>
            </w:pPr>
          </w:p>
        </w:tc>
      </w:tr>
      <w:tr>
        <w:trPr>
          <w:trHeight w:val="24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766,409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769,332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721,443</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4,015,382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4,049,989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RMS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114,411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154,666</w:t>
            </w: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DSA</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606,076</w:t>
            </w:r>
          </w:p>
        </w:tc>
        <w:tc>
          <w:tcPr>
            <w:tcW w:w="0" w:type="dxa"/>
            <w:vAlign w:val="bottom"/>
          </w:tcPr>
          <w:p>
            <w:pPr>
              <w:spacing w:after="0"/>
              <w:rPr>
                <w:sz w:val="1"/>
                <w:szCs w:val="1"/>
                <w:color w:val="auto"/>
              </w:rPr>
            </w:pPr>
          </w:p>
        </w:tc>
      </w:tr>
      <w:tr>
        <w:trPr>
          <w:trHeight w:val="24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(184,284)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88,329</w:t>
            </w: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849,071</w:t>
            </w:r>
          </w:p>
        </w:tc>
        <w:tc>
          <w:tcPr>
            <w:tcW w:w="0" w:type="dxa"/>
            <w:vAlign w:val="bottom"/>
          </w:tcPr>
          <w:p>
            <w:pPr>
              <w:spacing w:after="0"/>
              <w:rPr>
                <w:sz w:val="1"/>
                <w:szCs w:val="1"/>
                <w:color w:val="auto"/>
              </w:rPr>
            </w:pPr>
          </w:p>
        </w:tc>
      </w:tr>
      <w:tr>
        <w:trPr>
          <w:trHeight w:val="24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Unallocated corporate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(259,676)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(231,810)</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227,347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617,261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0" w:type="dxa"/>
            <w:vAlign w:val="bottom"/>
          </w:tcPr>
          <w:p>
            <w:pPr>
              <w:spacing w:after="0"/>
              <w:rPr>
                <w:sz w:val="1"/>
                <w:szCs w:val="1"/>
                <w:color w:val="auto"/>
              </w:rPr>
            </w:pPr>
          </w:p>
        </w:tc>
      </w:tr>
      <w:tr>
        <w:trPr>
          <w:trHeight w:val="240"/>
        </w:trPr>
        <w:tc>
          <w:tcPr>
            <w:tcW w:w="5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(136,710)</w:t>
            </w: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95,537</w:t>
            </w:r>
          </w:p>
        </w:tc>
        <w:tc>
          <w:tcPr>
            <w:tcW w:w="0" w:type="dxa"/>
            <w:vAlign w:val="bottom"/>
          </w:tcPr>
          <w:p>
            <w:pPr>
              <w:spacing w:after="0"/>
              <w:rPr>
                <w:sz w:val="1"/>
                <w:szCs w:val="1"/>
                <w:color w:val="auto"/>
              </w:rPr>
            </w:pPr>
          </w:p>
        </w:tc>
      </w:tr>
      <w:tr>
        <w:trPr>
          <w:trHeight w:val="21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93,114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581,284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Capital expenditures and depreciation and amortization (related to both intangible assets and certain assets acquired in business combinations) by reportable segment are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4"/>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RMS</w:t>
            </w:r>
          </w:p>
        </w:tc>
        <w:tc>
          <w:tcPr>
            <w:tcW w:w="360" w:type="dxa"/>
            <w:vAlign w:val="bottom"/>
          </w:tcPr>
          <w:p>
            <w:pPr>
              <w:spacing w:after="0"/>
              <w:rPr>
                <w:sz w:val="17"/>
                <w:szCs w:val="17"/>
                <w:color w:val="auto"/>
              </w:rPr>
            </w:pPr>
          </w:p>
        </w:tc>
        <w:tc>
          <w:tcPr>
            <w:tcW w:w="9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7"/>
                <w:szCs w:val="17"/>
                <w:color w:val="auto"/>
              </w:rPr>
            </w:pPr>
          </w:p>
        </w:tc>
        <w:tc>
          <w:tcPr>
            <w:tcW w:w="11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40" w:type="dxa"/>
            <w:vAlign w:val="bottom"/>
          </w:tcPr>
          <w:p>
            <w:pPr>
              <w:spacing w:after="0"/>
              <w:rPr>
                <w:sz w:val="17"/>
                <w:szCs w:val="17"/>
                <w:color w:val="auto"/>
              </w:rPr>
            </w:pPr>
          </w:p>
        </w:tc>
        <w:tc>
          <w:tcPr>
            <w:tcW w:w="11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193"/>
        </w:trPr>
        <w:tc>
          <w:tcPr>
            <w:tcW w:w="3240" w:type="dxa"/>
            <w:vAlign w:val="bottom"/>
          </w:tcPr>
          <w:p>
            <w:pPr>
              <w:jc w:val="right"/>
              <w:ind w:right="236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240" w:type="dxa"/>
            <w:vAlign w:val="bottom"/>
            <w:shd w:val="clear" w:color="auto" w:fill="CCEEFF"/>
          </w:tcPr>
          <w:p>
            <w:pPr>
              <w:jc w:val="right"/>
              <w:ind w:right="2603"/>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38,838</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41,427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219,152</w:t>
            </w:r>
          </w:p>
        </w:tc>
      </w:tr>
      <w:tr>
        <w:trPr>
          <w:trHeight w:val="233"/>
        </w:trPr>
        <w:tc>
          <w:tcPr>
            <w:tcW w:w="3240" w:type="dxa"/>
            <w:vAlign w:val="bottom"/>
          </w:tcPr>
          <w:p>
            <w:pPr>
              <w:jc w:val="right"/>
              <w:ind w:right="2603"/>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64,134</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128,356</w:t>
            </w: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38,500</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1,977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232,967</w:t>
            </w:r>
          </w:p>
        </w:tc>
      </w:tr>
      <w:tr>
        <w:trPr>
          <w:trHeight w:val="253"/>
        </w:trPr>
        <w:tc>
          <w:tcPr>
            <w:tcW w:w="3240" w:type="dxa"/>
            <w:vAlign w:val="bottom"/>
            <w:shd w:val="clear" w:color="auto" w:fill="CCEEFF"/>
          </w:tcPr>
          <w:p>
            <w:pPr>
              <w:jc w:val="right"/>
              <w:ind w:right="2603"/>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52,819</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204,891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58,134</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2,684</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318,528</w:t>
            </w: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Depreciation and amortization </w:t>
            </w:r>
            <w:r>
              <w:rPr>
                <w:rFonts w:ascii="Times New Roman" w:cs="Times New Roman" w:eastAsia="Times New Roman" w:hAnsi="Times New Roman"/>
                <w:sz w:val="18"/>
                <w:szCs w:val="18"/>
                <w:b w:val="1"/>
                <w:bCs w:val="1"/>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93"/>
        </w:trPr>
        <w:tc>
          <w:tcPr>
            <w:tcW w:w="3240" w:type="dxa"/>
            <w:vAlign w:val="bottom"/>
          </w:tcPr>
          <w:p>
            <w:pPr>
              <w:jc w:val="right"/>
              <w:ind w:right="2363"/>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240" w:type="dxa"/>
            <w:vAlign w:val="bottom"/>
            <w:shd w:val="clear" w:color="auto" w:fill="CCEEFF"/>
          </w:tcPr>
          <w:p>
            <w:pPr>
              <w:jc w:val="right"/>
              <w:ind w:right="2603"/>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81,075</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140,218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403,312</w:t>
            </w:r>
          </w:p>
        </w:tc>
      </w:tr>
      <w:tr>
        <w:trPr>
          <w:trHeight w:val="223"/>
        </w:trPr>
        <w:tc>
          <w:tcPr>
            <w:tcW w:w="3240" w:type="dxa"/>
            <w:vAlign w:val="bottom"/>
          </w:tcPr>
          <w:p>
            <w:pPr>
              <w:jc w:val="right"/>
              <w:ind w:right="2603"/>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191,126</w:t>
            </w:r>
          </w:p>
        </w:tc>
        <w:tc>
          <w:tcPr>
            <w:tcW w:w="2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89,964</w:t>
            </w:r>
          </w:p>
        </w:tc>
        <w:tc>
          <w:tcPr>
            <w:tcW w:w="2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6,839</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361,741</w:t>
            </w:r>
          </w:p>
        </w:tc>
      </w:tr>
      <w:tr>
        <w:trPr>
          <w:trHeight w:val="243"/>
        </w:trPr>
        <w:tc>
          <w:tcPr>
            <w:tcW w:w="3240" w:type="dxa"/>
            <w:vAlign w:val="bottom"/>
          </w:tcPr>
          <w:p>
            <w:pPr>
              <w:jc w:val="right"/>
              <w:ind w:right="2603"/>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55,570</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174,719</w:t>
            </w:r>
          </w:p>
        </w:tc>
        <w:tc>
          <w:tcPr>
            <w:tcW w:w="20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79,982</w:t>
            </w:r>
          </w:p>
        </w:tc>
        <w:tc>
          <w:tcPr>
            <w:tcW w:w="24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3,853</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-140970</wp:posOffset>
            </wp:positionV>
            <wp:extent cx="62407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ind w:left="800" w:hanging="126"/>
        <w:spacing w:after="0"/>
        <w:tabs>
          <w:tab w:leader="none" w:pos="80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Depreciation and amortization includes both inventory step up amortization expense and biological assets amortization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represents sales originating in entities physically located in the identified geographic area. Revenue by geographic area is as follows:</w:t>
      </w:r>
    </w:p>
    <w:p>
      <w:pPr>
        <w:spacing w:after="0" w:line="165" w:lineRule="exact"/>
        <w:rPr>
          <w:sz w:val="20"/>
          <w:szCs w:val="20"/>
          <w:color w:val="auto"/>
        </w:rPr>
      </w:pPr>
    </w:p>
    <w:p>
      <w:pPr>
        <w:ind w:left="3320"/>
        <w:spacing w:after="0"/>
        <w:tabs>
          <w:tab w:leader="none" w:pos="4600" w:val="left"/>
          <w:tab w:leader="none" w:pos="5980" w:val="left"/>
          <w:tab w:leader="none" w:pos="7260" w:val="left"/>
          <w:tab w:leader="none" w:pos="8760" w:val="left"/>
          <w:tab w:leader="none" w:pos="1002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Europe</w:t>
      </w:r>
      <w:r>
        <w:rPr>
          <w:sz w:val="20"/>
          <w:szCs w:val="20"/>
          <w:color w:val="auto"/>
        </w:rPr>
        <w:tab/>
      </w:r>
      <w:r>
        <w:rPr>
          <w:rFonts w:ascii="Times New Roman" w:cs="Times New Roman" w:eastAsia="Times New Roman" w:hAnsi="Times New Roman"/>
          <w:sz w:val="14"/>
          <w:szCs w:val="14"/>
          <w:b w:val="1"/>
          <w:bCs w:val="1"/>
          <w:color w:val="auto"/>
        </w:rPr>
        <w:t>Canada</w:t>
      </w:r>
      <w:r>
        <w:rPr>
          <w:sz w:val="20"/>
          <w:szCs w:val="20"/>
          <w:color w:val="auto"/>
        </w:rPr>
        <w:tab/>
      </w:r>
      <w:r>
        <w:rPr>
          <w:rFonts w:ascii="Times New Roman" w:cs="Times New Roman" w:eastAsia="Times New Roman" w:hAnsi="Times New Roman"/>
          <w:sz w:val="14"/>
          <w:szCs w:val="14"/>
          <w:b w:val="1"/>
          <w:bCs w:val="1"/>
          <w:color w:val="auto"/>
        </w:rPr>
        <w:t>Asia Pacific</w:t>
      </w:r>
      <w:r>
        <w:rPr>
          <w:sz w:val="20"/>
          <w:szCs w:val="20"/>
          <w:color w:val="auto"/>
        </w:rPr>
        <w:tab/>
      </w: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41910</wp:posOffset>
            </wp:positionV>
            <wp:extent cx="52717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6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14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3"/>
        </w:trPr>
        <w:tc>
          <w:tcPr>
            <w:tcW w:w="142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2,141,773</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1,102,696</w:t>
            </w:r>
          </w:p>
        </w:tc>
        <w:tc>
          <w:tcPr>
            <w:tcW w:w="4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501,025</w:t>
            </w: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205,023</w:t>
            </w:r>
          </w:p>
        </w:tc>
        <w:tc>
          <w:tcPr>
            <w:tcW w:w="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64,865</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4,015,382</w:t>
            </w:r>
          </w:p>
        </w:tc>
      </w:tr>
      <w:tr>
        <w:trPr>
          <w:trHeight w:val="253"/>
        </w:trPr>
        <w:tc>
          <w:tcPr>
            <w:tcW w:w="142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2,239,977</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1,078,146</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482,093</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196,952</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52,821</w:t>
            </w: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4,049,989</w:t>
            </w:r>
          </w:p>
        </w:tc>
      </w:tr>
      <w:tr>
        <w:trPr>
          <w:trHeight w:val="224"/>
        </w:trPr>
        <w:tc>
          <w:tcPr>
            <w:tcW w:w="142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2,347,486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1,076,937</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487,305</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200,833</w:t>
            </w:r>
          </w:p>
        </w:tc>
        <w:tc>
          <w:tcPr>
            <w:tcW w:w="5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16,848</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4,129,409</w:t>
            </w:r>
          </w:p>
        </w:tc>
      </w:tr>
    </w:tbl>
    <w:p>
      <w:pPr>
        <w:spacing w:after="0" w:line="118" w:lineRule="exact"/>
        <w:rPr>
          <w:sz w:val="20"/>
          <w:szCs w:val="20"/>
          <w:color w:val="auto"/>
        </w:rPr>
      </w:pPr>
    </w:p>
    <w:p>
      <w:pPr>
        <w:ind w:left="820" w:hanging="146"/>
        <w:spacing w:after="0"/>
        <w:tabs>
          <w:tab w:leader="none" w:pos="82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Other category represents operations located in Brazil, Israel, and Mauritius.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88" w:name="page89"/>
    <w:bookmarkEnd w:id="8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consist of property, plant, and equipment, net. Long-lived assets by geographic area are as follows: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6"/>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3"/>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1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1980" w:type="dxa"/>
            <w:vAlign w:val="bottom"/>
            <w:tcBorders>
              <w:bottom w:val="single" w:sz="8" w:color="CCEEFF"/>
            </w:tcBorders>
            <w:shd w:val="clear" w:color="auto" w:fill="CCEEFF"/>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3"/>
        </w:trPr>
        <w:tc>
          <w:tcPr>
            <w:tcW w:w="1980" w:type="dxa"/>
            <w:vAlign w:val="bottom"/>
          </w:tcPr>
          <w:p>
            <w:pPr>
              <w:jc w:val="right"/>
              <w:ind w:right="1441"/>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919,236</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468,638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163,337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61,814</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42,194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1,655,219</w:t>
            </w:r>
          </w:p>
        </w:tc>
      </w:tr>
      <w:tr>
        <w:trPr>
          <w:trHeight w:val="253"/>
        </w:trPr>
        <w:tc>
          <w:tcPr>
            <w:tcW w:w="1980" w:type="dxa"/>
            <w:vAlign w:val="bottom"/>
            <w:shd w:val="clear" w:color="auto" w:fill="CCEEFF"/>
          </w:tcPr>
          <w:p>
            <w:pPr>
              <w:jc w:val="right"/>
              <w:ind w:right="1441"/>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941,621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412,967</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147,039</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66,046</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36,341</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1,604,014</w:t>
            </w:r>
          </w:p>
        </w:tc>
      </w:tr>
      <w:tr>
        <w:trPr>
          <w:trHeight w:val="224"/>
        </w:trPr>
        <w:tc>
          <w:tcPr>
            <w:tcW w:w="1980" w:type="dxa"/>
            <w:vAlign w:val="bottom"/>
          </w:tcPr>
          <w:p>
            <w:pPr>
              <w:jc w:val="right"/>
              <w:ind w:right="1441"/>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964,176</w:t>
            </w:r>
          </w:p>
        </w:tc>
        <w:tc>
          <w:tcPr>
            <w:tcW w:w="32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407,375</w:t>
            </w:r>
          </w:p>
        </w:tc>
        <w:tc>
          <w:tcPr>
            <w:tcW w:w="30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157,483</w:t>
            </w:r>
          </w:p>
        </w:tc>
        <w:tc>
          <w:tcPr>
            <w:tcW w:w="2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74,605</w:t>
            </w: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36,102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1,639,741</w:t>
            </w:r>
          </w:p>
        </w:tc>
      </w:tr>
    </w:tbl>
    <w:p>
      <w:pPr>
        <w:spacing w:after="0" w:line="1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The Other category represents operations located in Brazil and Mauritius.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SUPPLEMENTAL CASH FLOW INFORMATION</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Pr>
          <w:p>
            <w:pPr>
              <w:spacing w:after="0"/>
              <w:rPr>
                <w:sz w:val="16"/>
                <w:szCs w:val="16"/>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101,718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123,452</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132,101</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9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Purchases of Property, plant and equipment included in Accounts payable</w:t>
            </w:r>
          </w:p>
        </w:tc>
        <w:tc>
          <w:tcPr>
            <w:tcW w:w="940" w:type="dxa"/>
            <w:vAlign w:val="bottom"/>
            <w:vMerge w:val="restart"/>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46,144</w:t>
            </w:r>
          </w:p>
        </w:tc>
        <w:tc>
          <w:tcPr>
            <w:tcW w:w="2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43,136</w:t>
            </w:r>
          </w:p>
        </w:tc>
        <w:tc>
          <w:tcPr>
            <w:tcW w:w="44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Accrued liabilities</w:t>
            </w:r>
          </w:p>
        </w:tc>
        <w:tc>
          <w:tcPr>
            <w:tcW w:w="9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 acquired under finance leases</w:t>
            </w:r>
          </w:p>
        </w:tc>
        <w:tc>
          <w:tcPr>
            <w:tcW w:w="94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3,214</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is included in the accompanying balance sheets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194,606</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205,570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inventories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40,959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43,041</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Pr>
          <w:p>
            <w:pPr>
              <w:spacing w:after="0"/>
              <w:rPr>
                <w:sz w:val="20"/>
                <w:szCs w:val="20"/>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88,743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51,785</w:t>
            </w:r>
          </w:p>
        </w:tc>
      </w:t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Finished products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169,401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183,718</w:t>
            </w:r>
          </w:p>
        </w:tc>
      </w:tr>
      <w:tr>
        <w:trPr>
          <w:trHeight w:val="237"/>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299,103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278,544</w:t>
            </w: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40" w:right="320" w:hanging="166"/>
        <w:spacing w:after="0" w:line="234" w:lineRule="auto"/>
        <w:tabs>
          <w:tab w:leader="none" w:pos="81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inventory balance as of December 28, 2024 is net of a $27 million inventory write down associated with the carrying value of inventory associated with the February 16, 2023, Cambodia-sourced non-human primate matter. See Note 18. Commitments and Contingencies.</w:t>
      </w:r>
    </w:p>
    <w:p>
      <w:pPr>
        <w:spacing w:after="0" w:line="19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Inventory step up amortization expense incurred in fiscal year 2025 and 2024 was $24.5 million and $27.7 million, respectively. In fiscal 2023, the Company did not incur inventory step up amortization expense.</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net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71,736</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Buildings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1,069,667</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Machinery and equipment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1,029,424</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438,746</w:t>
            </w:r>
          </w:p>
        </w:tc>
      </w:t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Computer hardware and software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268,032</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Vehicles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3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143,306</w:t>
            </w:r>
          </w:p>
        </w:tc>
      </w:t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3,192,922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3,058,124</w:t>
            </w:r>
          </w:p>
        </w:tc>
      </w:tr>
      <w:tr>
        <w:trPr>
          <w:trHeight w:val="23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(1,537,703)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(1,454,110)</w:t>
            </w:r>
          </w:p>
        </w:tc>
      </w:tr>
      <w:tr>
        <w:trPr>
          <w:trHeight w:val="26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1,604,014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00" w:hanging="126"/>
        <w:spacing w:after="0"/>
        <w:tabs>
          <w:tab w:leader="none" w:pos="80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balances include assets under finance leases. See Note 17. Leases.</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27, 2025, the Company included approximately $20 million of certain property, plant and equipment, primarily related to corporate assets, as held for sale within Other assets on the consolidated balance sheets.</w:t>
      </w:r>
    </w:p>
    <w:p>
      <w:pPr>
        <w:spacing w:after="0" w:line="54" w:lineRule="exact"/>
        <w:rPr>
          <w:sz w:val="20"/>
          <w:szCs w:val="20"/>
          <w:color w:val="auto"/>
        </w:rPr>
      </w:pPr>
    </w:p>
    <w:p>
      <w:pPr>
        <w:ind w:right="2020"/>
        <w:spacing w:after="0" w:line="375" w:lineRule="auto"/>
        <w:rPr>
          <w:sz w:val="20"/>
          <w:szCs w:val="20"/>
          <w:color w:val="auto"/>
        </w:rPr>
      </w:pPr>
      <w:r>
        <w:rPr>
          <w:rFonts w:ascii="Times New Roman" w:cs="Times New Roman" w:eastAsia="Times New Roman" w:hAnsi="Times New Roman"/>
          <w:sz w:val="18"/>
          <w:szCs w:val="18"/>
          <w:color w:val="auto"/>
        </w:rPr>
        <w:t xml:space="preserve">Depreciation expense in fiscal years 2025, 2024 and 2023 was $177.6 million, $190.2 million, and $176.7 million, respectively. </w:t>
      </w:r>
      <w:r>
        <w:rPr>
          <w:rFonts w:ascii="Times New Roman" w:cs="Times New Roman" w:eastAsia="Times New Roman" w:hAnsi="Times New Roman"/>
          <w:sz w:val="18"/>
          <w:szCs w:val="18"/>
          <w:b w:val="1"/>
          <w:bCs w:val="1"/>
          <w:i w:val="1"/>
          <w:iCs w:val="1"/>
          <w:color w:val="auto"/>
        </w:rPr>
        <w:t>Change in estimated useful lives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changed useful life estimates to better reflect the estimated periods during which these assets will remain in service, effective for fiscal 2025. The estimated useful lives of machinery and equipment, which was previously 5 years increased to 7 years, and building improvements which was previously 10 years increased to 15 years. The effect of this change in estimate during fiscal year 2025 reduced depreciation expense by $18.1 million, reduced the net loss available to Charles River Laboratories International, Inc. common shareholders by $14.3 million and reduced the basic and diluted loss per share by approximately $0.29.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VENTURE CAPITAL AND STRATEGIC EQUITY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capital investments are summarized below:</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4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6"/>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129,012</w:t>
            </w: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contributions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17,410</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w:t>
            </w: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116,561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121,158</w:t>
            </w: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0" w:name="page91"/>
    <w:bookmarkEnd w:id="9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invests, with minority positions, directly in equity of predominantly privately held companies. Strategic investments are summarized below:</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Pr>
          <w:p>
            <w:pPr>
              <w:spacing w:after="0"/>
              <w:rPr>
                <w:sz w:val="16"/>
                <w:szCs w:val="16"/>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4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86"/>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182,590</w:t>
            </w: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34,028</w:t>
            </w:r>
          </w:p>
        </w:tc>
      </w:tr>
      <w:tr>
        <w:trPr>
          <w:trHeight w:val="219"/>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(9,381)</w:t>
            </w:r>
          </w:p>
        </w:tc>
      </w:tr>
      <w:tr>
        <w:trPr>
          <w:trHeight w:val="213"/>
        </w:trPr>
        <w:tc>
          <w:tcPr>
            <w:tcW w:w="4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108,090</w:t>
            </w:r>
          </w:p>
        </w:tc>
      </w:tr>
      <w:tr>
        <w:trPr>
          <w:trHeight w:val="219"/>
        </w:trPr>
        <w:tc>
          <w:tcPr>
            <w:tcW w:w="498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Reduction for acquisition of entities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(197,753)</w:t>
            </w:r>
          </w:p>
        </w:tc>
      </w:tr>
      <w:tr>
        <w:trPr>
          <w:trHeight w:val="213"/>
        </w:trPr>
        <w:tc>
          <w:tcPr>
            <w:tcW w:w="4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w:t>
            </w: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101,789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ind w:left="820" w:hanging="146"/>
        <w:spacing w:after="0"/>
        <w:tabs>
          <w:tab w:leader="none" w:pos="82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Refer to Note 2 – Acquisitions for further discussion of the 2023 Noveprim and SAMDI acquisitions.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Gains (losses) and (impairments) in fiscal year 2025 and 2024 primarily relate to $17.4 million and $16.1 million of impairments associated with investments, which do not have readily determinable fair value and are accounted for under the measurement alternative.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4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6"/>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Life insurance policies</w:t>
            </w: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58,427</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58,427</w:t>
            </w:r>
          </w:p>
        </w:tc>
      </w:tr>
      <w:tr>
        <w:trPr>
          <w:trHeight w:val="26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58,427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63"/>
        </w:trPr>
        <w:tc>
          <w:tcPr>
            <w:tcW w:w="4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83"/>
        </w:trPr>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
        </w:trPr>
        <w:tc>
          <w:tcPr>
            <w:tcW w:w="4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4580" w:type="dxa"/>
            <w:vAlign w:val="bottom"/>
          </w:tcPr>
          <w:p>
            <w:pPr>
              <w:spacing w:after="0"/>
              <w:rPr>
                <w:sz w:val="16"/>
                <w:szCs w:val="16"/>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Life insurance policies</w:t>
            </w: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48,152</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48,152</w:t>
            </w:r>
          </w:p>
        </w:tc>
      </w:tr>
      <w:tr>
        <w:trPr>
          <w:trHeight w:val="243"/>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48,182</w:t>
            </w:r>
          </w:p>
        </w:tc>
        <w:tc>
          <w:tcPr>
            <w:tcW w:w="8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48,182</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w:t>
            </w:r>
          </w:p>
        </w:tc>
      </w:tr>
      <w:tr>
        <w:trPr>
          <w:trHeight w:val="240"/>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49,311</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49,311</w:t>
            </w:r>
          </w:p>
        </w:tc>
      </w:tr>
      <w:tr>
        <w:trPr>
          <w:trHeight w:val="20"/>
        </w:trPr>
        <w:tc>
          <w:tcPr>
            <w:tcW w:w="4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2025 and 2024, there were no transfers between fair value levels.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contingent consideration related to the Company’s acquisitions.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13,431</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gains or losses (realized/unrealized):</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of previously recorded contingent liability</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r>
      <w:tr>
        <w:trPr>
          <w:trHeight w:val="237"/>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68"/>
        </w:trPr>
        <w:tc>
          <w:tcPr>
            <w:tcW w:w="5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Ending balance</w:t>
            </w: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contingent consideration obligations through valuation models, such as probability-weighted and option pricing models, that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$30 million, the full value of which is accrued as of December 27, 2025. As of December 27, 2025 the weighted average probability of achieving the maximum target is approximately 100%. The average volatility and weighted average cost of capital is approximately 20% and 8%,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exposed to market fluctuations in interest rates as well as variability in foreign exchange rates. The Company had an interest rate swap with a notional amount of $500 million that matured in fiscal 2024 and was utilized to manage interest rate fluctuation related to floating rate borrowings under the revolving credit facility, at a fixed rate of 4.65%.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book value of the Company’s revolving loans are variable rate loans carried at amortized cost which approximates the fair value. The fair value is based on significant other observable inputs, including current interest and foreign currency exchange rates, it is deemed to be Level 2 within the fair value hierarchy.</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excluding issuance costs, and fair value of the Company’s Senior Notes is summarized below:</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440" w:type="dxa"/>
            <w:vAlign w:val="bottom"/>
          </w:tcPr>
          <w:p>
            <w:pPr>
              <w:spacing w:after="0"/>
              <w:rPr>
                <w:sz w:val="16"/>
                <w:szCs w:val="16"/>
                <w:color w:val="auto"/>
              </w:rPr>
            </w:pPr>
          </w:p>
        </w:tc>
        <w:tc>
          <w:tcPr>
            <w:tcW w:w="2960" w:type="dxa"/>
            <w:vAlign w:val="bottom"/>
            <w:gridSpan w:val="3"/>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35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8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6"/>
                <w:szCs w:val="16"/>
                <w:color w:val="auto"/>
              </w:rPr>
            </w:pPr>
          </w:p>
        </w:tc>
        <w:tc>
          <w:tcPr>
            <w:tcW w:w="12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60" w:type="dxa"/>
            <w:vAlign w:val="bottom"/>
          </w:tcPr>
          <w:p>
            <w:pPr>
              <w:spacing w:after="0"/>
              <w:rPr>
                <w:sz w:val="16"/>
                <w:szCs w:val="16"/>
                <w:color w:val="auto"/>
              </w:rPr>
            </w:pPr>
          </w:p>
        </w:tc>
        <w:tc>
          <w:tcPr>
            <w:tcW w:w="13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5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3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473,750</w:t>
            </w:r>
          </w:p>
        </w:tc>
      </w:tr>
      <w:tr>
        <w:trPr>
          <w:trHeight w:val="240"/>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8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456,250</w:t>
            </w:r>
          </w:p>
        </w:tc>
      </w:tr>
      <w:tr>
        <w:trPr>
          <w:trHeight w:val="24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441,250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changes in the carrying amount of the Company’s goodwill:</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338"/>
        </w:trPr>
        <w:tc>
          <w:tcPr>
            <w:tcW w:w="33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RMS</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8"/>
                <w:szCs w:val="28"/>
                <w:b w:val="1"/>
                <w:bCs w:val="1"/>
                <w:color w:val="auto"/>
                <w:vertAlign w:val="subscript"/>
              </w:rPr>
              <w:t>DSA</w:t>
            </w:r>
            <w:r>
              <w:rPr>
                <w:rFonts w:ascii="Times New Roman" w:cs="Times New Roman" w:eastAsia="Times New Roman" w:hAnsi="Times New Roman"/>
                <w:sz w:val="9"/>
                <w:szCs w:val="9"/>
                <w:b w:val="1"/>
                <w:bCs w:val="1"/>
                <w:color w:val="auto"/>
              </w:rPr>
              <w:t>(1)</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Manufacturing </w:t>
            </w:r>
            <w:r>
              <w:rPr>
                <w:rFonts w:ascii="Times New Roman" w:cs="Times New Roman" w:eastAsia="Times New Roman" w:hAnsi="Times New Roman"/>
                <w:sz w:val="18"/>
                <w:szCs w:val="18"/>
                <w:b w:val="1"/>
                <w:bCs w:val="1"/>
                <w:color w:val="auto"/>
                <w:vertAlign w:val="superscript"/>
              </w:rPr>
              <w:t>(2)</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497,474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3,095,045</w:t>
            </w: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17,675</w:t>
            </w:r>
          </w:p>
        </w:tc>
      </w:tr>
      <w:tr>
        <w:trPr>
          <w:trHeight w:val="219"/>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r>
      <w:tr>
        <w:trPr>
          <w:trHeight w:val="213"/>
        </w:trPr>
        <w:tc>
          <w:tcPr>
            <w:tcW w:w="3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(51,112)</w:t>
            </w:r>
          </w:p>
        </w:tc>
      </w:tr>
      <w:tr>
        <w:trPr>
          <w:trHeight w:val="21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496,740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2,846,608</w:t>
            </w: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Divestitures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9"/>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r>
      <w:tr>
        <w:trPr>
          <w:trHeight w:val="213"/>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86,645</w:t>
            </w:r>
          </w:p>
        </w:tc>
      </w:tr>
      <w:tr>
        <w:trPr>
          <w:trHeight w:val="23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510,844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1,678,518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574,891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-158750</wp:posOffset>
            </wp:positionV>
            <wp:extent cx="62407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40780" cy="163195"/>
                    </a:xfrm>
                    <a:prstGeom prst="rect">
                      <a:avLst/>
                    </a:prstGeom>
                    <a:noFill/>
                  </pic:spPr>
                </pic:pic>
              </a:graphicData>
            </a:graphic>
          </wp:anchor>
        </w:drawing>
      </w:r>
    </w:p>
    <w:p>
      <w:pPr>
        <w:ind w:left="820" w:hanging="146"/>
        <w:spacing w:after="0" w:line="214" w:lineRule="auto"/>
        <w:tabs>
          <w:tab w:leader="none" w:pos="82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DSA includes accumulated impairment losses of $1 billion, which were recognized in fiscal years 2008 and 2010.</w:t>
      </w:r>
    </w:p>
    <w:p>
      <w:pPr>
        <w:spacing w:after="0" w:line="30" w:lineRule="exact"/>
        <w:rPr>
          <w:rFonts w:ascii="Times New Roman" w:cs="Times New Roman" w:eastAsia="Times New Roman" w:hAnsi="Times New Roman"/>
          <w:sz w:val="18"/>
          <w:szCs w:val="18"/>
          <w:color w:val="auto"/>
          <w:vertAlign w:val="superscript"/>
        </w:rPr>
      </w:pPr>
    </w:p>
    <w:p>
      <w:pPr>
        <w:ind w:left="820" w:hanging="146"/>
        <w:spacing w:after="0" w:line="199" w:lineRule="auto"/>
        <w:tabs>
          <w:tab w:leader="none" w:pos="82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Manufacturing includes accumulated impairment losses of $380 million, which were recognized in fiscal years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-232410</wp:posOffset>
            </wp:positionV>
            <wp:extent cx="41059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the beginning of fiscal 2025, the Company has combined the Discovery Services and Safety Assessment reporting units into a single reporting unit consistent with recent changes to the DSA integrated operating structure.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decrease in goodwill during fiscal year 2025 is primarily related to the $165.0 million impairment charge recognized in the Manufacturing reportable segment partially offset by the effect of foreign exchange. The decrease in goodwill during fiscal year 2024 is primarily related to the $215.0 million impairment charge recognized in the Manufacturing reportable segment and foreign exchange impacts; partially offset by measurement period adjustments related to the acquisition of Noveprim in the DSA reportable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Goodwill Impairment Assessment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during the fourth quarter or more frequently if an event occurs or circumstances change that would more-likely-than-not reduce the fair value of the Company's reporting units below their carrying amounts.</w:t>
      </w:r>
    </w:p>
    <w:p>
      <w:pPr>
        <w:spacing w:after="0" w:line="5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During the fourth quarter ended December 27, 2025, the Company performed the quantitative goodwill impairment test for our reporting units and upon completion, it was determined that the fair value of the Biologics Solutions reporting unit did not exceed its carrying value, resulting in a goodwill impairment charge of $165.0 million within the accompanying consolidated statements of income (loss). This was primarily attributable to a decline in its operating performance, resulting in a reduction to the long-range financial plan of the reporting unit, and evolving market information in the fourth quarter of 2025. The fair value of the Biologics Solutions reporting unit tested for impairment during 2025 was determined using a weighted combination of a discounted cash flow model (an income approach), and sales and earnings multiples based on the guideline public company method, and other market information (a market approach). The discounted cash flow model used to determine the fair value of the Biologics Solutions reporting unit reflected significant assumptions related to future revenue, a long term growth rate, operating income margins, and a discount rate based on a weighted-average cost of capital. Significant assumptions used in the market approach included earnings multiples, sales multiples, and other market information about the value of certain asset groups within the reporting unit. The Biologics Solutions reporting unit fair value measurement is classified as Level 3 in the fair value hierarchy because they involve significant unobservable inputs. The Company will continue to closely monitor future performance and any potential impacts on the value of the reporting unit. If the estimated future cash flows decrease below our current expectations, specifically as a result of lower revenue growth rates or operating income margins, or due to an increase of the weighted-average cost of capital, the fair value may further decrease resulting in an incremental material goodwill impairment.</w:t>
      </w:r>
    </w:p>
    <w:p>
      <w:pPr>
        <w:spacing w:after="0" w:line="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Excluding the impairment charge associated with the Biologics Solutions reporting unit, the fiscal year 2025 annual impairment test indicated that goodwill was not impaired for any other reporting units.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Goodwill Impairment Results from Triggering Events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fiscal 2024, subsequent to the annual goodwill impairment test, a triggering event was identified for the Biologics Solutions reporting unit (part of the Manufacturing reporting segment) which has goodwill assigned to it. This resulted from a loss of key customers, ultimately resulting in a reduction in Biologics Solutions’ long range financial outlook. In response, management conducted a quantitative impairment test for goodwill to determine if the goodwill in the Biologics Solutions reporting unit was impaired. The fair value of the Biologics Solutions reporting unit was determined by using a weighted combination of a market-based approach and an income approach. Under the market-based approach, the Company utilized entity specific information about the reporting unit as well as publicly available industry information to determine key assumptions including earnings multiples and sales multiples. Under the income approach, fair value was determined based on the estimated future cash flows of the reporting unit which includes key assumptions for future revenue, long term growth rates, and operating income margins, discounted by an estimated weighted-average cost of capital. The Biologics Solutions reporting unit fair value measurement is classified as Level 3 in the fair value hierarchy because they involve significant unobservable inputs.</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completion of the quantitative impairment test, it was determined that the fair value of the reporting unit did not exceed its carrying value. As a result, the Company recognized a goodwill impairment charge of $215.0 million within the accompanying consolidated statements of income (loss). Excluding the impairment charge associated with the Biologics Solutions reporting unit, the fiscal year 2024 annual impairment test indicated that goodwill was not impaired for any other reporting units.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intangible assets, net by major class: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7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1"/>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27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1,325,779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(1,016,198)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309,581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1,505,871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681,968</w:t>
            </w:r>
          </w:p>
        </w:tc>
      </w:tr>
      <w:tr>
        <w:trPr>
          <w:trHeight w:val="23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17,912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139,335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22,799</w:t>
            </w:r>
          </w:p>
        </w:tc>
      </w:tr>
      <w:tr>
        <w:trPr>
          <w:trHeight w:val="25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11,827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6,197</w:t>
            </w:r>
          </w:p>
        </w:tc>
      </w:tr>
      <w:tr>
        <w:trPr>
          <w:trHeight w:val="237"/>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10,489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39,819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12,436</w:t>
            </w:r>
          </w:p>
        </w:tc>
      </w:tr>
      <w:tr>
        <w:trPr>
          <w:trHeight w:val="268"/>
        </w:trPr>
        <w:tc>
          <w:tcPr>
            <w:tcW w:w="2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(1,157,802)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339,995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1,696,852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723,400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decrease in intangible assets, net during fiscal year 2025 related primarily to normal amortization over the useful lives, a $211.0 million impairment charge (noted below), and accelerated amortization of certain client relationships (noted below). Amortization expense of definite-lived intangible assets for fiscal years 2025, 2024 and 2023 was $179.1 million, $138.5 million and $137.4 million, respectively.</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fourth quarter ended December 27, 2025, prior to the annual Goodwill Impairment Assessment, a triggering event was identified impacting the Cell Solutions, CDMO Cell Therapy, and CDMO Gene Therapy asset groups due to a decline in operating performance in fiscal year 2025, resulting in a reduction in the asset groups’ long range financial outlook, and evolving market information about these asset groups identified in the fourth quarter of fiscal year 2025. Cell Solutions is presented within the RMS reportable segment, while CDMO Cell Therapy and CDMO Gene Therapy are presented within the Manufacturing reportable segment. In response, the Company conducted a recoverability test for each asset group, based on an estimate of undiscounted future cash flows for various recoverability scenarios, to determine if the asset groups were impaired. Upon completion of the recoverability test, it was determined that the probability-weighted undiscounted cash flows of the CDMO Cell Therapy asset group exceeded its carrying value. The Cell Solutions and CDMO Gene Therapy asset groups probability-weighted undiscounted cash flows did not exceed their carrying value, resulting in the Company recording an intangible asset impairment charge related to client relationships and trade names of approximately $211.0 million within the accompanying consolidated statements of income (loss). Additionally, the Company recorded impairment charges of approximately $8.0 million to Property, plant, and equipment, net and Operating lease right-of-use assets, net, recognized in the Company’s consolidated statements of income (loss) as a component of selling, general and administrative expenses. The fair value of the Cell Solutions and CDMO Gene Therapy asset groups were determined using a market approach by using other market information about the value of these asset groups.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fourth quarter ended December 28, 2024, a triggering event was identified for the CDMO Cell Therapy asset group within the Biologics Solutions business, part of the Manufacturing reportable segment, as there was a loss of key customers, resulting in a significant reduction in cash flows. The Company concluded that there were no impairments to the long-lived asset group, which includes client relationships. However, the remaining useful life of the client relationships was reduced. As a result of the decrease in the remaining useful life, $9.4 million of accelerated amortization was recognized within the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accompanying consolidated statements of income (loss). The remaining value of these client relationships was $75.9 million and was amortized over the remaining useful life of approximately 6 months in fiscal year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estimated amortization expense for intangible assets for each of the next five fiscal years is expected to be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20" w:type="dxa"/>
            <w:vAlign w:val="bottom"/>
          </w:tcPr>
          <w:p>
            <w:pPr>
              <w:spacing w:after="0"/>
              <w:rPr>
                <w:sz w:val="16"/>
                <w:szCs w:val="16"/>
                <w:color w:val="auto"/>
              </w:rPr>
            </w:pPr>
          </w:p>
        </w:tc>
        <w:tc>
          <w:tcPr>
            <w:tcW w:w="244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37"/>
        </w:trPr>
        <w:tc>
          <w:tcPr>
            <w:tcW w:w="2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r>
        <w:trPr>
          <w:trHeight w:val="186"/>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40" w:type="dxa"/>
            <w:vAlign w:val="bottom"/>
          </w:tcPr>
          <w:p>
            <w:pPr>
              <w:spacing w:after="0"/>
              <w:rPr>
                <w:sz w:val="3"/>
                <w:szCs w:val="3"/>
                <w:color w:val="auto"/>
              </w:rPr>
            </w:pPr>
          </w:p>
        </w:tc>
      </w:tr>
      <w:tr>
        <w:trPr>
          <w:trHeight w:val="243"/>
        </w:trPr>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70,048</w:t>
            </w:r>
          </w:p>
        </w:tc>
      </w:tr>
      <w:tr>
        <w:trPr>
          <w:trHeight w:val="233"/>
        </w:trPr>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w:t>
            </w:r>
          </w:p>
        </w:tc>
      </w:tr>
      <w:tr>
        <w:trPr>
          <w:trHeight w:val="253"/>
        </w:trPr>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53,705</w:t>
            </w:r>
          </w:p>
        </w:tc>
      </w:tr>
      <w:tr>
        <w:trPr>
          <w:trHeight w:val="233"/>
        </w:trPr>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49,085</w:t>
            </w:r>
          </w:p>
        </w:tc>
      </w:tr>
      <w:tr>
        <w:trPr>
          <w:trHeight w:val="253"/>
        </w:trPr>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 AND OTHER FINANCING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and finance leases consists of the following:</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714,948</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15,603</w:t>
            </w: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28,444</w:t>
            </w:r>
          </w:p>
        </w:tc>
      </w:tr>
      <w:tr>
        <w:trPr>
          <w:trHeight w:val="23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and finance leases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2,152,221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2,258,995</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4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and finance leases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2,256,066</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2,136,360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2,240,205</w:t>
            </w:r>
          </w:p>
        </w:tc>
      </w:tr>
      <w:tr>
        <w:trPr>
          <w:trHeight w:val="20"/>
        </w:trPr>
        <w:tc>
          <w:tcPr>
            <w:tcW w:w="7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and December 28, 2024, the weighted average interest rate on the Company’s debt was 4.05% and 4.48%,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the Company modified its revolving credit facility “Credit Facility”. The Credit Facility provides for up to $2.0 billion (reduced from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$3.0 billion) and has a maturity date of December 2029 (previously April 2026), with no required scheduled payment before that date. The terms of the Credit Facility are substantially the same with the interest rates equal to (A) for revolving loans denominated in U.S. dollars, at the Company’s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the Company’s leverage ratio.</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Facility includes certain customary representations and warranties, events of default, notices of material adverse changes to the Company’s business and negative and affirmative covenants. These covenants include (1) maintenance of a ratio of consolidated earnings before interest, taxes, depreciation and amortization (EBITDA) less capital expenditures to consolidated cash interest expense, for any period of four consecutive fiscal quarters, of no less than 3.50 to 1.0 as well as (2) maintenance of a ratio of consolidated indebtedness plus principal outstanding in connection with any permitted receivables financing to consolidated EBITDA for any period of four consecutive fiscal quarters, of no more than 4.25 to 1.0. As of December 27, 2025, the Company was compliant with all financial covenants under the Credit Facility. The obligations of the Company under the Credit Facility are collateralized by substantially all of the assets of the Company.</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5" w:name="page96"/>
    <w:bookmarkEnd w:id="9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concluded that the transaction represented a modification of existing debt and capitalized approximately $5.0 million of debt issuance costs incurred as a reduction to total outstanding debt in fiscal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fiscal year 2019, the Company issued $500 million of 4.25% Senior Notes due in 2028 (2028 Senior Notes) in an unregistered offering. Interest on the 2028 Senior Notes is payable semi-annually.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Notes and 2031 Senior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year 2021, the Company issued $1 billion of debt split between $500 million of 3.75% Senior Notes due in 2029 (2029 Senior Notes), and</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$500 million of 4.00% Senior Notes due in 2031 (2031 Senior Notes), in an unregistered offering. Interest on the 2029 and 2031 Senior Notes is payable semi-annually.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maturities of existing debt for the periods set forth in the table below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88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40" w:type="dxa"/>
            <w:vAlign w:val="bottom"/>
          </w:tcPr>
          <w:p>
            <w:pPr>
              <w:spacing w:after="0"/>
              <w:rPr>
                <w:sz w:val="16"/>
                <w:szCs w:val="16"/>
                <w:color w:val="auto"/>
              </w:rPr>
            </w:pPr>
          </w:p>
        </w:tc>
        <w:tc>
          <w:tcPr>
            <w:tcW w:w="2320" w:type="dxa"/>
            <w:vAlign w:val="bottom"/>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37"/>
        </w:trPr>
        <w:tc>
          <w:tcPr>
            <w:tcW w:w="2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186"/>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1,334</w:t>
            </w:r>
          </w:p>
        </w:tc>
      </w:tr>
      <w:tr>
        <w:trPr>
          <w:trHeight w:val="23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1,549</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501,323</w:t>
            </w:r>
          </w:p>
        </w:tc>
      </w:tr>
      <w:tr>
        <w:trPr>
          <w:trHeight w:val="23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1,117,807</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501,167</w:t>
            </w:r>
          </w:p>
        </w:tc>
      </w:tr>
      <w:tr>
        <w:trPr>
          <w:trHeight w:val="237"/>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1,165</w:t>
            </w:r>
          </w:p>
        </w:tc>
      </w:tr>
      <w:tr>
        <w:trPr>
          <w:trHeight w:val="268"/>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2,124,345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and December 28, 2024, the Company had $22.0 million and $22.4 million, respectively, in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96" w:name="page97"/>
    <w:bookmarkEnd w:id="9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AND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(loss) per share: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(142,163)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0" w:type="dxa"/>
            <w:vAlign w:val="bottom"/>
          </w:tcPr>
          <w:p>
            <w:pPr>
              <w:spacing w:after="0"/>
              <w:rPr>
                <w:sz w:val="1"/>
                <w:szCs w:val="1"/>
                <w:color w:val="auto"/>
              </w:rPr>
            </w:pPr>
          </w:p>
        </w:tc>
      </w:tr>
      <w:tr>
        <w:trPr>
          <w:trHeight w:val="268"/>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 attributable to Charles River Laboratories International, Inc.</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(144,338)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 of net income (loss) per share attributable to Charles River</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Laboratories International, Inc. common shareholders</w:t>
            </w: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Charles River Laboratories International, Inc.</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(144,338)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0" w:type="dxa"/>
            <w:vAlign w:val="bottom"/>
          </w:tcPr>
          <w:p>
            <w:pPr>
              <w:spacing w:after="0"/>
              <w:rPr>
                <w:sz w:val="1"/>
                <w:szCs w:val="1"/>
                <w:color w:val="auto"/>
              </w:rPr>
            </w:pPr>
          </w:p>
        </w:tc>
      </w:tr>
      <w:tr>
        <w:trPr>
          <w:trHeight w:val="25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Less: Incremental dividends attributed to noncontrolling interest holders </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53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Net income (loss) available to Charles River Laboratories International, Inc.</w:t>
            </w:r>
          </w:p>
        </w:tc>
        <w:tc>
          <w:tcPr>
            <w:tcW w:w="980" w:type="dxa"/>
            <w:vAlign w:val="bottom"/>
            <w:tcBorders>
              <w:top w:val="single" w:sz="8" w:color="auto"/>
            </w:tcBorders>
            <w:vMerge w:val="restart"/>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8"/>
              </w:rPr>
              <w:t>(144,338)</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100" w:type="dxa"/>
            <w:vAlign w:val="bottom"/>
          </w:tcPr>
          <w:p>
            <w:pPr>
              <w:spacing w:after="0"/>
              <w:rPr>
                <w:sz w:val="15"/>
                <w:szCs w:val="15"/>
                <w:color w:val="auto"/>
              </w:rPr>
            </w:pPr>
          </w:p>
        </w:tc>
        <w:tc>
          <w:tcPr>
            <w:tcW w:w="40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0" w:type="dxa"/>
            <w:vAlign w:val="bottom"/>
          </w:tcPr>
          <w:p>
            <w:pPr>
              <w:spacing w:after="0"/>
              <w:rPr>
                <w:sz w:val="1"/>
                <w:szCs w:val="1"/>
                <w:color w:val="auto"/>
              </w:rPr>
            </w:pPr>
          </w:p>
        </w:tc>
      </w:tr>
      <w:tr>
        <w:trPr>
          <w:trHeight w:val="218"/>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shareholders</w:t>
            </w:r>
          </w:p>
        </w:tc>
        <w:tc>
          <w:tcPr>
            <w:tcW w:w="9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51,227</w:t>
            </w:r>
          </w:p>
        </w:tc>
        <w:tc>
          <w:tcPr>
            <w:tcW w:w="0" w:type="dxa"/>
            <w:vAlign w:val="bottom"/>
          </w:tcPr>
          <w:p>
            <w:pPr>
              <w:spacing w:after="0"/>
              <w:rPr>
                <w:sz w:val="1"/>
                <w:szCs w:val="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restricted stock units and performance share units</w:t>
            </w:r>
          </w:p>
        </w:tc>
        <w:tc>
          <w:tcPr>
            <w:tcW w:w="9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9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49,564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51,628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51,451</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Anti-dilutive common stock equivalents </w:t>
            </w:r>
            <w:r>
              <w:rPr>
                <w:rFonts w:ascii="Times New Roman" w:cs="Times New Roman" w:eastAsia="Times New Roman" w:hAnsi="Times New Roman"/>
                <w:sz w:val="21"/>
                <w:szCs w:val="21"/>
                <w:color w:val="auto"/>
                <w:vertAlign w:val="superscript"/>
              </w:rPr>
              <w:t>(2)(3)</w:t>
            </w:r>
          </w:p>
        </w:tc>
        <w:tc>
          <w:tcPr>
            <w:tcW w:w="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bl>
    <w:p>
      <w:pPr>
        <w:ind w:left="800" w:hanging="126"/>
        <w:spacing w:after="0" w:line="236" w:lineRule="auto"/>
        <w:tabs>
          <w:tab w:leader="none" w:pos="80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incremental declared dividends attributable to Noveprim noncontrolling interest holders who are entitled to preferential dividends for fiscal year 2024.</w:t>
      </w:r>
    </w:p>
    <w:p>
      <w:pPr>
        <w:spacing w:after="0" w:line="55" w:lineRule="exact"/>
        <w:rPr>
          <w:rFonts w:ascii="Times New Roman" w:cs="Times New Roman" w:eastAsia="Times New Roman" w:hAnsi="Times New Roman"/>
          <w:sz w:val="16"/>
          <w:szCs w:val="16"/>
          <w:color w:val="auto"/>
          <w:vertAlign w:val="superscript"/>
        </w:rPr>
      </w:pPr>
    </w:p>
    <w:p>
      <w:pPr>
        <w:ind w:left="800" w:hanging="126"/>
        <w:spacing w:after="0" w:line="227" w:lineRule="auto"/>
        <w:tabs>
          <w:tab w:leader="none" w:pos="80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Anti-dilutive common stock equivalents represent amounts outstanding related to employee stock options, RSUs and PSUs for all periods presented.</w:t>
      </w:r>
    </w:p>
    <w:p>
      <w:pPr>
        <w:spacing w:after="0" w:line="55" w:lineRule="exact"/>
        <w:rPr>
          <w:rFonts w:ascii="Times New Roman" w:cs="Times New Roman" w:eastAsia="Times New Roman" w:hAnsi="Times New Roman"/>
          <w:sz w:val="16"/>
          <w:szCs w:val="16"/>
          <w:color w:val="auto"/>
          <w:vertAlign w:val="superscript"/>
        </w:rPr>
      </w:pPr>
    </w:p>
    <w:p>
      <w:pPr>
        <w:ind w:left="840" w:right="220" w:hanging="166"/>
        <w:spacing w:after="0" w:line="248" w:lineRule="auto"/>
        <w:tabs>
          <w:tab w:leader="none" w:pos="81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common stock equivalents were outstanding for the periods presented, but were not included in the computation of diluted EPS for those periods because their inclusion would have had an anti-dilutive effect.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fiscal year 2025, the Company repurchased 2.1 million shares of common stock for $350.0 million under the prior stock repurchase program. On October 29, 2025, the Company’s Board of Directors approved a new stock repurchase authorization of $1.0 billion. This new authorization replaces the prior stock repurchase authorization of $1.0 billion that had $549.3 million remaining on the plan when it was terminated.</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27, 2025, the Company had $1.0 billion remaining on the current authorized stock repurchase program. As of December 28, 2024, the Company had $899.3 million remaining on the prior authorized stock repurchase program.</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plans permit the netting of common stock upon vesting of RSUs and PSUs in order to satisfy individual statutory tax withholding requirements. The Company acquired shares of 0.1 million in fiscal years 2025 and 2024, for $10.1 million and $18.5 million, respectively, from such netting.</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the end of fiscal years 2025, 2024 and 2023, the Company’s Board of Directors approved the cancellation and return to the Company’s authorized and unissued capital stock, reducing treasury stock on the Company’s consolidated balance sheet. The Company allocated the excess of the repurchase price over the par value of shares acquired to reduce both retained earnings and additional paid-in capital.</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each component of accumulated other comprehensive income (loss), net of income taxes,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2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on Cash Flow</w:t>
            </w:r>
          </w:p>
        </w:tc>
        <w:tc>
          <w:tcPr>
            <w:tcW w:w="360" w:type="dxa"/>
            <w:vAlign w:val="bottom"/>
          </w:tcPr>
          <w:p>
            <w:pPr>
              <w:spacing w:after="0"/>
              <w:rPr>
                <w:sz w:val="14"/>
                <w:szCs w:val="14"/>
                <w:color w:val="auto"/>
              </w:rPr>
            </w:pPr>
          </w:p>
        </w:tc>
        <w:tc>
          <w:tcPr>
            <w:tcW w:w="118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Adjustment</w:t>
            </w:r>
            <w:r>
              <w:rPr>
                <w:rFonts w:ascii="Times New Roman" w:cs="Times New Roman" w:eastAsia="Times New Roman" w:hAnsi="Times New Roman"/>
                <w:sz w:val="18"/>
                <w:szCs w:val="18"/>
                <w:b w:val="1"/>
                <w:bCs w:val="1"/>
                <w:color w:val="auto"/>
                <w:w w:val="96"/>
                <w:vertAlign w:val="superscript"/>
              </w:rPr>
              <w:t>(1)</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(217,785)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(262,057)</w:t>
            </w:r>
          </w:p>
        </w:tc>
        <w:tc>
          <w:tcPr>
            <w:tcW w:w="0" w:type="dxa"/>
            <w:vAlign w:val="bottom"/>
          </w:tcPr>
          <w:p>
            <w:pPr>
              <w:spacing w:after="0"/>
              <w:rPr>
                <w:sz w:val="1"/>
                <w:szCs w:val="1"/>
                <w:color w:val="auto"/>
              </w:rPr>
            </w:pPr>
          </w:p>
        </w:tc>
      </w:tr>
      <w:tr>
        <w:trPr>
          <w:trHeight w:val="20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68,965</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40"/>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71,851</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69,701</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0" w:type="dxa"/>
            <w:vAlign w:val="bottom"/>
          </w:tcPr>
          <w:p>
            <w:pPr>
              <w:spacing w:after="0"/>
              <w:rPr>
                <w:sz w:val="1"/>
                <w:szCs w:val="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(196,427)</w:t>
            </w:r>
          </w:p>
        </w:tc>
        <w:tc>
          <w:tcPr>
            <w:tcW w:w="0" w:type="dxa"/>
            <w:vAlign w:val="bottom"/>
          </w:tcPr>
          <w:p>
            <w:pPr>
              <w:spacing w:after="0"/>
              <w:rPr>
                <w:sz w:val="1"/>
                <w:szCs w:val="1"/>
                <w:color w:val="auto"/>
              </w:rPr>
            </w:pPr>
          </w:p>
        </w:tc>
      </w:tr>
      <w:tr>
        <w:trPr>
          <w:trHeight w:val="25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(140,417)</w:t>
            </w:r>
          </w:p>
        </w:tc>
        <w:tc>
          <w:tcPr>
            <w:tcW w:w="0" w:type="dxa"/>
            <w:vAlign w:val="bottom"/>
          </w:tcPr>
          <w:p>
            <w:pPr>
              <w:spacing w:after="0"/>
              <w:rPr>
                <w:sz w:val="1"/>
                <w:szCs w:val="1"/>
                <w:color w:val="auto"/>
              </w:rPr>
            </w:pPr>
          </w:p>
        </w:tc>
      </w:tr>
      <w:tr>
        <w:trPr>
          <w:trHeight w:val="20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loss</w:t>
            </w:r>
          </w:p>
        </w:tc>
        <w:tc>
          <w:tcPr>
            <w:tcW w:w="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(127,261)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(138,821)</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(261,471)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(317,345)</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175,963</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40"/>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177,149</w:t>
            </w:r>
          </w:p>
        </w:tc>
        <w:tc>
          <w:tcPr>
            <w:tcW w:w="0" w:type="dxa"/>
            <w:vAlign w:val="bottom"/>
          </w:tcPr>
          <w:p>
            <w:pPr>
              <w:spacing w:after="0"/>
              <w:rPr>
                <w:sz w:val="1"/>
                <w:szCs w:val="1"/>
                <w:color w:val="auto"/>
              </w:rPr>
            </w:pPr>
          </w:p>
        </w:tc>
      </w:tr>
      <w:tr>
        <w:trPr>
          <w:trHeight w:val="24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31,587</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(120,167)</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(51,616)</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(171,783)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40" w:right="500" w:hanging="166"/>
        <w:spacing w:after="0" w:line="270" w:lineRule="auto"/>
        <w:tabs>
          <w:tab w:leader="none" w:pos="810" w:val="left"/>
        </w:tabs>
        <w:numPr>
          <w:ilvl w:val="0"/>
          <w:numId w:val="3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impact of the foreign currency translation adjustment to other comprehensive income (loss) before reclassifications was primarily due to the effect of changes in foreign currency exchange rates of the Euro, Great British Pound, Canadian Dollar, Hungarian Forint, Mauritian Rupee, and Chinese Yuan.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fiscal years 2025, 2024, and 2023, the Company held several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consolidated balance sheets, which is presented above the equity section and below liabilities.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(loss) available to common shareholders used in the calculation of earnings (loss) per common share.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holds a 90% ownership interest in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The redemption value is accreted to the put purchase price of $54.0 million using the interest method through December 2030. As of December 27, 2025, the redemption value of $41.3 million exceeded the carrying value, resulting in an adjustment to additional paid in capital of $6.4 million for the twelve months ended December 27, 2025. As of December 28, 2024, the redemption value of $41.1 million exceeded the carrying value, resulting in an adjustment to additional paid in capital of $7.9 million for the twelve months ended December 28, 2024. Additionally, during fiscal year 2024 the 10% noncontrolling interest holders received a dividend disproportionate to their equity ownership, of which the fair value of $8.0 million as of the acquisition date was recorded within the redeemable noncontrolling interest. In fiscal year 2024, incremental dividends based on Noveprim statutory net income attributed to the redeemable noncontrolling interest holders of</w:t>
      </w:r>
    </w:p>
    <w:p>
      <w:pPr>
        <w:spacing w:after="0" w:line="4" w:lineRule="exact"/>
        <w:rPr>
          <w:sz w:val="20"/>
          <w:szCs w:val="20"/>
          <w:color w:val="auto"/>
        </w:rPr>
      </w:pPr>
    </w:p>
    <w:p>
      <w:pPr>
        <w:ind w:right="1480"/>
        <w:spacing w:after="0" w:line="365" w:lineRule="auto"/>
        <w:rPr>
          <w:sz w:val="20"/>
          <w:szCs w:val="20"/>
          <w:color w:val="auto"/>
        </w:rPr>
      </w:pPr>
      <w:r>
        <w:rPr>
          <w:rFonts w:ascii="Times New Roman" w:cs="Times New Roman" w:eastAsia="Times New Roman" w:hAnsi="Times New Roman"/>
          <w:sz w:val="18"/>
          <w:szCs w:val="18"/>
          <w:color w:val="auto"/>
        </w:rPr>
        <w:t xml:space="preserve">$11.9 million reduced net income (loss) available to common shareholders used in the calculation of earnings (loss) per common share. </w:t>
      </w:r>
      <w:r>
        <w:rPr>
          <w:rFonts w:ascii="Times New Roman" w:cs="Times New Roman" w:eastAsia="Times New Roman" w:hAnsi="Times New Roman"/>
          <w:sz w:val="18"/>
          <w:szCs w:val="18"/>
          <w:b w:val="1"/>
          <w:bCs w:val="1"/>
          <w:i w:val="1"/>
          <w:iCs w:val="1"/>
          <w:color w:val="auto"/>
        </w:rPr>
        <w:t>Other redeemable noncontrolling interest</w:t>
      </w:r>
    </w:p>
    <w:p>
      <w:pPr>
        <w:ind w:right="20"/>
        <w:spacing w:after="0" w:line="255" w:lineRule="auto"/>
        <w:rPr>
          <w:sz w:val="20"/>
          <w:szCs w:val="20"/>
          <w:color w:val="auto"/>
        </w:rPr>
      </w:pPr>
      <w:r>
        <w:rPr>
          <w:rFonts w:ascii="Times New Roman" w:cs="Times New Roman" w:eastAsia="Times New Roman" w:hAnsi="Times New Roman"/>
          <w:sz w:val="18"/>
          <w:szCs w:val="18"/>
          <w:color w:val="auto"/>
        </w:rPr>
        <w:t>In 2019, the Company acquired an 80% equity interest in a subsidiary, which included a 20% redeemable noncontrolling interest. In June 2022, the Company purchased an additional 10% interest in the subsidiary for $15.0 million, resulting in a remaining noncontrolling interest of 10%. Beginning in 2024, the Company had the right to purchase, and the noncontrolling interest holders had the right to sell, the remaining 10% equity interest at its appraised value. The redemption value was measured at the greater of the appraised value or a predetermined floor. The amount that the Company could be required to pay to purchase the remaining 10% equity interest was not limited. As of March 30, 2024, the redemption value of $12.0 million exceeded the carrying value, resulting in an adjustment to additional paid in capital of $2.8 million. During the second quarter of fiscal 2024, the Company acquired the remaining 10% for $12.0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Vital River</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held a 92% ownership interest in Vital River, a commercial provider of research models and related services in China as of December 31, 2022. The Company had the right to purchase, and the noncontrolling interest holders had the right to sell, the remaining 8% equity interest at a contractually defined redemption value, subject to a redemption floor. The amount that the Company could be required to pay to purchase the remaining 8% equity interest was not limited. During fiscal year 2023, the Company acquired the remaining 8% and paid $4.8 million of the total $24.4 million due. The remaining purchase price payable of $19.1 million was included in Accrued liabilities within the Company’s consolidated balance sheet as of December 28, 2024 and was paid during the first quarter of fiscal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Nonredeemable Noncontrolling Interest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an entity whose financial results are consolidated in the Company’s financial statements, as it has the ability to exercise control over this entity. The interest of the noncontrolling party in this entity has been recorded as noncontrolling interest within Equity in the accompanying consolidated balance sheets. The activity within the nonredeemable noncontrolling interest (net income less dividends declared) during fiscal years 2025, 2024, and 2023 was not material.</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from operations before income taxes and the related provision for income taxes are presented below:</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(290,645)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(290,308)</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185,667</w:t>
            </w:r>
          </w:p>
        </w:tc>
      </w:tr>
      <w:tr>
        <w:trPr>
          <w:trHeight w:val="2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Non-U.S.</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191,142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383,422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395,617</w:t>
            </w:r>
          </w:p>
        </w:tc>
      </w:tr>
      <w:tr>
        <w:trPr>
          <w:trHeight w:val="243"/>
        </w:trPr>
        <w:tc>
          <w:tcPr>
            <w:tcW w:w="5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income (loss) before income taxes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93,114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581,284</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49,090</w:t>
            </w:r>
          </w:p>
        </w:tc>
      </w:tr>
      <w:tr>
        <w:trPr>
          <w:trHeight w:val="23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85,356</w:t>
            </w:r>
          </w:p>
        </w:tc>
      </w:tr>
      <w:tr>
        <w:trPr>
          <w:trHeight w:val="2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17,817</w:t>
            </w:r>
          </w:p>
        </w:tc>
      </w:tr>
      <w:tr>
        <w:trPr>
          <w:trHeight w:val="237"/>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118,029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135,017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152,263</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(42,987)</w:t>
            </w:r>
          </w:p>
        </w:tc>
      </w:tr>
      <w:tr>
        <w:trPr>
          <w:trHeight w:val="25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37"/>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(9,141)</w:t>
            </w:r>
          </w:p>
        </w:tc>
      </w:tr>
      <w:tr>
        <w:trPr>
          <w:trHeight w:val="237"/>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w:t>
            </w:r>
          </w:p>
        </w:tc>
        <w:tc>
          <w:tcPr>
            <w:tcW w:w="9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(51,349)</w:t>
            </w:r>
          </w:p>
        </w:tc>
      </w:tr>
      <w:tr>
        <w:trPr>
          <w:trHeight w:val="243"/>
        </w:trPr>
        <w:tc>
          <w:tcPr>
            <w:tcW w:w="5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100,914</w:t>
            </w:r>
          </w:p>
        </w:tc>
      </w:tr>
      <w:tr>
        <w:trPr>
          <w:trHeight w:val="20"/>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statutory U.S. federal income tax rate to effective tax rates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3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23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2380" w:type="dxa"/>
            <w:vAlign w:val="bottom"/>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 federal statutory tax rate</w:t>
            </w:r>
          </w:p>
        </w:tc>
        <w:tc>
          <w:tcPr>
            <w:tcW w:w="23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(20,896)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65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State and local income taxes, net of federal income tax effect </w:t>
            </w:r>
            <w:r>
              <w:rPr>
                <w:rFonts w:ascii="Times New Roman" w:cs="Times New Roman" w:eastAsia="Times New Roman" w:hAnsi="Times New Roman"/>
                <w:sz w:val="21"/>
                <w:szCs w:val="21"/>
                <w:b w:val="1"/>
                <w:bCs w:val="1"/>
                <w:color w:val="auto"/>
                <w:vertAlign w:val="superscript"/>
              </w:rPr>
              <w:t>(1)</w:t>
            </w:r>
          </w:p>
        </w:tc>
        <w:tc>
          <w:tcPr>
            <w:tcW w:w="23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(4,653)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6"/>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Effect of cross-border tax laws</w:t>
            </w:r>
          </w:p>
        </w:tc>
        <w:tc>
          <w:tcPr>
            <w:tcW w:w="2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Global intangible low-taxed income, net of foreign tax credits</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6,284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3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Tax credits</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23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(2,721)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4"/>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Change in valuation allowance</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2,040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8"/>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2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4,468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impairment</w:t>
            </w:r>
          </w:p>
        </w:tc>
        <w:tc>
          <w:tcPr>
            <w:tcW w:w="23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8,032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4,961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Impact of acquisition and restructuring</w:t>
            </w:r>
          </w:p>
        </w:tc>
        <w:tc>
          <w:tcPr>
            <w:tcW w:w="238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5,541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3,888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2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Canada</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23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(9,790)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on unremitted earnings</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6,946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23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(23,230)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Local income taxes</w:t>
            </w:r>
          </w:p>
        </w:tc>
        <w:tc>
          <w:tcPr>
            <w:tcW w:w="23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22,182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38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(31)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China</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00" w:name="page101"/>
    <w:bookmarkEnd w:id="10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on unremitted earnings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France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Germany</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Local income taxes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Ireland</w:t>
            </w: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Luxembourg</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Enactment of new tax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Mauritius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Enactment of new tax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local taxes - Qualified domestic minimum top-up tax</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9"/>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United Kingdom</w:t>
            </w: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 impairment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31,126</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Impact of acquisition and restructuring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6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9"/>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6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Changes in unrecognized tax benefits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6"/>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Income tax expense and effective tax rate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42,660</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26"/>
        <w:spacing w:after="0"/>
        <w:tabs>
          <w:tab w:leader="none" w:pos="140"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State and local taxes in Massachusetts, Maryland, Ashland, Ohio and California made up the majority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141605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20"/>
          </w:cols>
          <w:pgMar w:left="980" w:top="117" w:right="1099" w:bottom="1440" w:gutter="0" w:footer="0" w:header="0"/>
        </w:sectPr>
      </w:pPr>
    </w:p>
    <w:bookmarkStart w:id="101" w:name="page102"/>
    <w:bookmarkEnd w:id="10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statutory U.S. federal income tax rate to effective tax rates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40" w:type="dxa"/>
            <w:vAlign w:val="bottom"/>
          </w:tcPr>
          <w:p>
            <w:pPr>
              <w:spacing w:after="0"/>
              <w:rPr>
                <w:sz w:val="16"/>
                <w:szCs w:val="16"/>
                <w:color w:val="auto"/>
              </w:rPr>
            </w:pPr>
          </w:p>
        </w:tc>
      </w:tr>
      <w:tr>
        <w:trPr>
          <w:trHeight w:val="37"/>
        </w:trPr>
        <w:tc>
          <w:tcPr>
            <w:tcW w:w="68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7960" w:type="dxa"/>
            <w:vAlign w:val="bottom"/>
            <w:gridSpan w:val="2"/>
          </w:tcPr>
          <w:p>
            <w:pPr>
              <w:ind w:left="7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8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statutory income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tax rate differences</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tax benefit</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tax credits and enhanced deductions</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Enacted tax rate changes</w:t>
            </w:r>
          </w:p>
        </w:tc>
        <w:tc>
          <w:tcPr>
            <w:tcW w:w="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on unremitted earnings</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tax uncertainties</w:t>
            </w:r>
          </w:p>
        </w:tc>
        <w:tc>
          <w:tcPr>
            <w:tcW w:w="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 of acquisitions and restructuring</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deferred tax asset recognition, net of valuation allowance (NOL DTA)</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Global intangible low-taxed income</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r>
      <w:tr>
        <w:trPr>
          <w:trHeight w:val="23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local tax</w:t>
            </w:r>
          </w:p>
        </w:tc>
        <w:tc>
          <w:tcPr>
            <w:tcW w:w="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r>
      <w:tr>
        <w:trPr>
          <w:trHeight w:val="237"/>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r>
      <w:tr>
        <w:trPr>
          <w:trHeight w:val="263"/>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34,932</w:t>
            </w: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17,523</w:t>
            </w: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and credit carryforwards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348,228</w:t>
            </w: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132,388</w:t>
            </w: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R&amp;D expenditures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46,247</w:t>
            </w: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25,133</w:t>
            </w:r>
          </w:p>
        </w:tc>
      </w:tr>
      <w:tr>
        <w:trPr>
          <w:trHeight w:val="236"/>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(286,771)</w:t>
            </w:r>
          </w:p>
        </w:tc>
      </w:tr>
      <w:tr>
        <w:trPr>
          <w:trHeight w:val="243"/>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317,680</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(198,103)</w:t>
            </w: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related</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(41,481)</w:t>
            </w: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on unremitted earnings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(11,622)</w:t>
            </w: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(113,631)</w:t>
            </w:r>
          </w:p>
        </w:tc>
      </w:tr>
      <w:tr>
        <w:trPr>
          <w:trHeight w:val="24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(17,624)</w:t>
            </w:r>
          </w:p>
        </w:tc>
      </w:tr>
      <w:tr>
        <w:trPr>
          <w:trHeight w:val="236"/>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(305,884)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(382,461)</w:t>
            </w:r>
          </w:p>
        </w:tc>
      </w:tr>
      <w:tr>
        <w:trPr>
          <w:trHeight w:val="268"/>
        </w:trPr>
        <w:tc>
          <w:tcPr>
            <w:tcW w:w="7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has recognized its deferred tax assets on the belief that it is more likely than not that they will be realized. Exceptions primarily relate to deferred tax assets for net operating losses in Luxembourg, U.K., Sweden, China, state research and development tax credits, certain capital losses, and fixed assets in the U.K. and Ireland.</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26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82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62"/>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 (net of refunds received) in fiscal 2025 are as follows: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8"/>
        </w:trPr>
        <w:tc>
          <w:tcPr>
            <w:tcW w:w="6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37"/>
        </w:trPr>
        <w:tc>
          <w:tcPr>
            <w:tcW w:w="660" w:type="dxa"/>
            <w:vAlign w:val="bottom"/>
          </w:tcPr>
          <w:p>
            <w:pPr>
              <w:spacing w:after="0"/>
              <w:rPr>
                <w:sz w:val="3"/>
                <w:szCs w:val="3"/>
                <w:color w:val="auto"/>
              </w:rPr>
            </w:pPr>
          </w:p>
        </w:tc>
        <w:tc>
          <w:tcPr>
            <w:tcW w:w="8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660" w:type="dxa"/>
            <w:vAlign w:val="bottom"/>
          </w:tcPr>
          <w:p>
            <w:pPr>
              <w:spacing w:after="0"/>
              <w:rPr>
                <w:sz w:val="3"/>
                <w:szCs w:val="3"/>
                <w:color w:val="auto"/>
              </w:rPr>
            </w:pPr>
          </w:p>
        </w:tc>
        <w:tc>
          <w:tcPr>
            <w:tcW w:w="8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0"/>
        </w:trPr>
        <w:tc>
          <w:tcPr>
            <w:tcW w:w="66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660" w:type="dxa"/>
            <w:vAlign w:val="bottom"/>
          </w:tcPr>
          <w:p>
            <w:pPr>
              <w:spacing w:after="0"/>
              <w:rPr>
                <w:sz w:val="19"/>
                <w:szCs w:val="19"/>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42,288</w:t>
            </w:r>
          </w:p>
        </w:tc>
      </w:tr>
      <w:tr>
        <w:trPr>
          <w:trHeight w:val="213"/>
        </w:trPr>
        <w:tc>
          <w:tcPr>
            <w:tcW w:w="660" w:type="dxa"/>
            <w:vAlign w:val="bottom"/>
          </w:tcPr>
          <w:p>
            <w:pPr>
              <w:spacing w:after="0"/>
              <w:rPr>
                <w:sz w:val="18"/>
                <w:szCs w:val="18"/>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660" w:type="dxa"/>
            <w:vAlign w:val="bottom"/>
          </w:tcPr>
          <w:p>
            <w:pPr>
              <w:spacing w:after="0"/>
              <w:rPr>
                <w:sz w:val="20"/>
                <w:szCs w:val="20"/>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Massachusetts</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r>
      <w:tr>
        <w:trPr>
          <w:trHeight w:val="229"/>
        </w:trPr>
        <w:tc>
          <w:tcPr>
            <w:tcW w:w="66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All other states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216"/>
        </w:trPr>
        <w:tc>
          <w:tcPr>
            <w:tcW w:w="660" w:type="dxa"/>
            <w:vAlign w:val="bottom"/>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w:t>
            </w:r>
          </w:p>
        </w:tc>
      </w:tr>
      <w:tr>
        <w:trPr>
          <w:trHeight w:val="229"/>
        </w:trPr>
        <w:tc>
          <w:tcPr>
            <w:tcW w:w="66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Netherlands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29"/>
        </w:trPr>
        <w:tc>
          <w:tcPr>
            <w:tcW w:w="66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China</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30"/>
        </w:trPr>
        <w:tc>
          <w:tcPr>
            <w:tcW w:w="66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 other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w:t>
            </w:r>
          </w:p>
        </w:tc>
      </w:tr>
      <w:tr>
        <w:trPr>
          <w:trHeight w:val="223"/>
        </w:trPr>
        <w:tc>
          <w:tcPr>
            <w:tcW w:w="66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income taxes paid (net of refunds received)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119,644</w:t>
            </w:r>
          </w:p>
        </w:tc>
      </w:tr>
      <w:tr>
        <w:trPr>
          <w:trHeight w:val="21"/>
        </w:trPr>
        <w:tc>
          <w:tcPr>
            <w:tcW w:w="6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paid (net of refunds received) in fiscal 2024 and fiscal 2023 were $126.1 million and $90.4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beginning and ending valuation allowance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0"/>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294,753</w:t>
            </w:r>
          </w:p>
        </w:tc>
      </w:tr>
      <w:tr>
        <w:trPr>
          <w:trHeight w:val="23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(reductions) charged to income tax provision, net</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5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Reductions due to divestitures, restructuring</w:t>
            </w:r>
          </w:p>
        </w:tc>
        <w:tc>
          <w:tcPr>
            <w:tcW w:w="10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Enacted tax law changes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Currency translation and other</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323,325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286,771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304,248</w:t>
            </w: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December 27, 2025, the Company had tax-effected deferred tax assets for net operating loss carryforwards of $332.5 million, as compared to $311.7 million as of December 28, 2024. Of this amount, $29.7 million are definite-lived and begin to expire in 2027, and the remainder of $302.8 million can be carried forward indefinitely. The Company has deferred tax assets for tax credit carryforwards of $36.6 million. The entire $36.6 million are definite-lived and begin to expire after 2039. Additionally, the Company records a benefit to operating income for research and development and other credits in Quebec, France, the Netherlands, and the U.K. related to its DSA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beginning and ending unrecognized income tax benefits is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300" w:type="dxa"/>
            <w:vAlign w:val="bottom"/>
          </w:tcPr>
          <w:p>
            <w:pPr>
              <w:spacing w:after="0"/>
              <w:rPr>
                <w:sz w:val="16"/>
                <w:szCs w:val="16"/>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23,242</w:t>
            </w:r>
          </w:p>
        </w:tc>
      </w:tr>
      <w:tr>
        <w:trPr>
          <w:trHeight w:val="21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tax positions for current year</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r>
      <w:tr>
        <w:trPr>
          <w:trHeight w:val="21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to tax positions for prior years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3"/>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Reductions to tax positions for prior years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r>
      <w:tr>
        <w:trPr>
          <w:trHeight w:val="21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Expiration of statute of limitations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22,702</w:t>
            </w:r>
          </w:p>
        </w:tc>
      </w:tr>
      <w:tr>
        <w:trPr>
          <w:trHeight w:val="21"/>
        </w:trPr>
        <w:tc>
          <w:tcPr>
            <w:tcW w:w="5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$1.5 million increase in unrecognized income tax benefits during fiscal year 2025 as compared to the corresponding period in fiscal year 2024 is primarily attributable to an additional year of Canadian Scientific Research and Experimental Development (SR&amp;ED) credit additions and unfavorable foreign exchange movement, offset by statute of limitations lapse on tax group termination and R&amp;D credits. The amount of unrecognized income tax benefits that, if recognized, would favorably impact the effective tax rate was $21.8 million as of December 27, 2025 and $22.0 million as of December 28, 2024. The Company continues to recognize interest and penalties related to unrecognized income tax benefits in income tax expense. The total amount of cumulative accrued interest related to unrecognized income tax benefits as of December 27, 2025 and</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December 28, 2024 was $2.2 million and $2.0 million, respectively. Interest expense recorded as a component of income taxes was immaterial for all periods. There were no accrued penalties related to unrecognized income tax benefits as of December 27, 2025 or as of December 28, 2024.</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2020.</w:t>
      </w:r>
    </w:p>
    <w:p>
      <w:pPr>
        <w:spacing w:after="0" w:line="6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ongoing tax controversies in the U.S., Canada, France, Israel, Ireland, Singapore, and India. The Company does not anticipate resolution of these audits will have a material impact on its consolidated financial statements.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Prepaid income tax of $119.9 million and $83.0 million has been presented within Other current assets in the accompanying consolidated balance sheets as of December 27, 2025 and December 28, 2024, respectively. Accrued income taxes of $39.0 million and $31.9 million have been presented within Other current liabilities in the accompanying consolidated balance sheets as of December 27, 2025 and December 28,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Charles River Pension Plan (U.K. Pension Plan) is a defined contribution and defined benefit pension plan covering certain U.K. employees. Benefits are based on participants’ final pensionable salary and years of service. Participants’ rights vest immediately. The plan was previously amended to exclude new participants from joining the defined benefit section of the plan and a defined contribution section was established for new entrants. Contributions under the defined contribution plan are determined as a percentage of gross salary. Additionally, the U.K. Pension Plan was amended such that the members of the defined benefit section of the plan ceased to accrue additional benefits; however, their benefits continue to be adjusted for changes in their final pensionable salary or a specified inflation index, as applicable. During fiscal 2025, the Company made no contributions to the U.K. Pension Plan. As of fiscal 2025 year-end, this plan was in a funded status of $36.3 million.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has several defined benefit plans in certain other countries in which it maintains an operating presence, including Canada, France, Germany, Italy, Mauritius, Netherlands, and Japan.</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net periodic benefit cost (income) associated with these plans for fiscal years 2025, 2024 and 2023 totaled $4.2 million, $4.8 million and $2.8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River Laboratories Deferred Compensation Plan and Executive Supplemental Life Insurance Retirement Plan</w:t>
      </w:r>
    </w:p>
    <w:p>
      <w:pPr>
        <w:spacing w:after="0" w:line="12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The Company maintains a non-qualified deferred compensation plan, known as the Charles River Laboratories Deferred Compensation Plan (DCP), which allows a select group of eligible employees to defer a portion of their compensation. At the present time, no contributions are credited to the DCP, except as set forth below. Participants must specify the distribution date for deferred amounts at the time of deferral, in accordance with applicable IRS regulations.</w:t>
      </w:r>
    </w:p>
    <w:p>
      <w:pPr>
        <w:spacing w:after="0" w:line="2"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Generally, amounts may be paid in lump sum or installments upon retirement or termination of employment, or later if the employee terminates employment after age 55 and before age 65. Amounts may also be distributed during employment, subject to a minimum deferral requirement of three years.</w:t>
      </w:r>
    </w:p>
    <w:p>
      <w:pPr>
        <w:spacing w:after="0" w:line="7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provides certain active employees an annual contribution into their DCP account of 10% of the employee’s base salary plus the lesser of their target annual bonus or actual annual bonus. Each annual employer contribution shall become vested and non-forfeitable in four equal installments on December 31 (the “Vesting Date”) of each of the four years following the year in respect of which the annual employer contribution was made, provided that the employee remains employed by the Company on the applicable Vesting Date. All of an employee’s annual employer contributions will vest and become non-forfeitable upon (i) a change in control, (ii) the employee’s death or disability, or (iii) the attainment by such employee of age 60 following continuous employment by the Company until such time.</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to the DCP, certain officers and key employees also participate, or in the past participated, in the Company’s Executive Supplemental Life Insurance Retirement Plan (ESLIRP), which is a non-funded, non-qualified arrangement. Annual benefits under this plan will equal a percentage of the highest five consecutive years of compensation, offset by amounts payable under the U.S. Pension Plan and Social Security. In connection with the establishment of the DCP, certain active ESLIRP participants, who agreed to convert their accrued ESLIRP benefit to a comparable deferred compensation benefit, discontinued their direct participation in the ESLIRP. Instead, the present values of the accrued benefits of ESLIRP participants were credited to their DCP accounts, and future accruals are converted to present values and credited to their DCP accounts annually.</w:t>
      </w:r>
    </w:p>
    <w:p>
      <w:pPr>
        <w:spacing w:after="0" w:line="7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net periodic benefit cost associated with these plans for fiscal years 2025, 2024 and 2023 totaled $3.4 million, $3.0 million and $2.8 million,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invested in several corporate-owned key-person life insurance policies with the intention of using these investments to fund the ESLIRP and the DCP. Participants have no interest in any such investments. As of December 27, 2025 and December 28, 2024, the cash surrender value of these life insurance policies were $66.3 million and $55.8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benefit obligations and plan assets of the Company’s pension, DCP, and ESLIRP plans: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6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224,875</w:t>
            </w: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10,417</w:t>
            </w: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Curtailment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0"/>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4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0" w:type="dxa"/>
            <w:vAlign w:val="bottom"/>
          </w:tcPr>
          <w:p>
            <w:pPr>
              <w:spacing w:after="0"/>
              <w:rPr>
                <w:sz w:val="1"/>
                <w:szCs w:val="1"/>
                <w:color w:val="auto"/>
              </w:rPr>
            </w:pPr>
          </w:p>
        </w:tc>
      </w:tr>
      <w:tr>
        <w:trPr>
          <w:trHeight w:val="237"/>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0" w:type="dxa"/>
            <w:vAlign w:val="bottom"/>
          </w:tcPr>
          <w:p>
            <w:pPr>
              <w:spacing w:after="0"/>
              <w:rPr>
                <w:sz w:val="1"/>
                <w:szCs w:val="1"/>
                <w:color w:val="auto"/>
              </w:rPr>
            </w:pPr>
          </w:p>
        </w:tc>
      </w:tr>
      <w:tr>
        <w:trPr>
          <w:trHeight w:val="26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215,959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plan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203,657</w:t>
            </w:r>
          </w:p>
        </w:tc>
        <w:tc>
          <w:tcPr>
            <w:tcW w:w="0" w:type="dxa"/>
            <w:vAlign w:val="bottom"/>
          </w:tcPr>
          <w:p>
            <w:pPr>
              <w:spacing w:after="0"/>
              <w:rPr>
                <w:sz w:val="1"/>
                <w:szCs w:val="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Employer contributions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0" w:type="dxa"/>
            <w:vAlign w:val="bottom"/>
          </w:tcPr>
          <w:p>
            <w:pPr>
              <w:spacing w:after="0"/>
              <w:rPr>
                <w:sz w:val="1"/>
                <w:szCs w:val="1"/>
                <w:color w:val="auto"/>
              </w:rPr>
            </w:pPr>
          </w:p>
        </w:tc>
      </w:tr>
      <w:tr>
        <w:trPr>
          <w:trHeight w:val="240"/>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4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0" w:type="dxa"/>
            <w:vAlign w:val="bottom"/>
          </w:tcPr>
          <w:p>
            <w:pPr>
              <w:spacing w:after="0"/>
              <w:rPr>
                <w:sz w:val="1"/>
                <w:szCs w:val="1"/>
                <w:color w:val="auto"/>
              </w:rPr>
            </w:pPr>
          </w:p>
        </w:tc>
      </w:tr>
      <w:tr>
        <w:trPr>
          <w:trHeight w:val="24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196,166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182,647</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balance sheet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0" w:type="dxa"/>
            <w:vAlign w:val="bottom"/>
          </w:tcPr>
          <w:p>
            <w:pPr>
              <w:spacing w:after="0"/>
              <w:rPr>
                <w:sz w:val="1"/>
                <w:szCs w:val="1"/>
                <w:color w:val="auto"/>
              </w:rPr>
            </w:pPr>
          </w:p>
        </w:tc>
      </w:tr>
      <w:tr>
        <w:trPr>
          <w:trHeight w:val="266"/>
        </w:trPr>
        <w:tc>
          <w:tcPr>
            <w:tcW w:w="7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balance sheet:</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31,628</w:t>
            </w:r>
          </w:p>
        </w:tc>
        <w:tc>
          <w:tcPr>
            <w:tcW w:w="0" w:type="dxa"/>
            <w:vAlign w:val="bottom"/>
          </w:tcPr>
          <w:p>
            <w:pPr>
              <w:spacing w:after="0"/>
              <w:rPr>
                <w:sz w:val="1"/>
                <w:szCs w:val="1"/>
                <w:color w:val="auto"/>
              </w:rPr>
            </w:pPr>
          </w:p>
        </w:tc>
      </w:tr>
      <w:tr>
        <w:trPr>
          <w:trHeight w:val="23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5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Actuarial gains and losses are driven by changes in economic assumptions, principally discount rates. Amounts recognized in accumulated other comprehensive loss related to the Company’s pension, DCP, and ESLIRP plans are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loss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58,855</w:t>
            </w:r>
          </w:p>
        </w:tc>
      </w:tr>
      <w:tr>
        <w:trPr>
          <w:trHeight w:val="237"/>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prior service cost (credit)</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68"/>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58,734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and fair value of plan assets for the Company’s pension, DCP, and ESLIRP plans with accumulated benefit obligations in excess of plan assets are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0" w:type="dxa"/>
            <w:vAlign w:val="bottom"/>
          </w:tcPr>
          <w:p>
            <w:pPr>
              <w:spacing w:after="0"/>
              <w:rPr>
                <w:sz w:val="16"/>
                <w:szCs w:val="16"/>
                <w:color w:val="auto"/>
              </w:rPr>
            </w:pPr>
          </w:p>
        </w:tc>
        <w:tc>
          <w:tcPr>
            <w:tcW w:w="15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3"/>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3"/>
          </w:tcPr>
          <w:p>
            <w:pPr>
              <w:jc w:val="right"/>
              <w:ind w:right="12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65,240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59,920</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80" w:type="dxa"/>
            <w:vAlign w:val="bottom"/>
          </w:tcPr>
          <w:p>
            <w:pPr>
              <w:spacing w:after="0"/>
              <w:rPr>
                <w:sz w:val="19"/>
                <w:szCs w:val="19"/>
                <w:color w:val="auto"/>
              </w:rPr>
            </w:pPr>
          </w:p>
        </w:tc>
        <w:tc>
          <w:tcPr>
            <w:tcW w:w="15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3,569</w:t>
            </w:r>
          </w:p>
        </w:tc>
        <w:tc>
          <w:tcPr>
            <w:tcW w:w="240" w:type="dxa"/>
            <w:vAlign w:val="bottom"/>
          </w:tcPr>
          <w:p>
            <w:pPr>
              <w:spacing w:after="0"/>
              <w:rPr>
                <w:sz w:val="19"/>
                <w:szCs w:val="19"/>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2,901</w:t>
            </w:r>
          </w:p>
        </w:tc>
      </w:tr>
    </w:tbl>
    <w:p>
      <w:pPr>
        <w:spacing w:after="0" w:line="1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projected benefit obligation and fair value of plan assets for the Company’s pension, DCP, and ESLIRP plans with projected benefit obligations in excess of plan assets are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40" w:type="dxa"/>
            <w:vAlign w:val="bottom"/>
          </w:tcPr>
          <w:p>
            <w:pPr>
              <w:spacing w:after="0"/>
              <w:rPr>
                <w:sz w:val="16"/>
                <w:szCs w:val="16"/>
                <w:color w:val="auto"/>
              </w:rPr>
            </w:pPr>
          </w:p>
        </w:tc>
        <w:tc>
          <w:tcPr>
            <w:tcW w:w="15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3"/>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3"/>
          </w:tcPr>
          <w:p>
            <w:pPr>
              <w:jc w:val="right"/>
              <w:ind w:right="12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73,765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68,487</w:t>
            </w: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80" w:type="dxa"/>
            <w:vAlign w:val="bottom"/>
          </w:tcPr>
          <w:p>
            <w:pPr>
              <w:spacing w:after="0"/>
              <w:rPr>
                <w:sz w:val="19"/>
                <w:szCs w:val="19"/>
                <w:color w:val="auto"/>
              </w:rPr>
            </w:pPr>
          </w:p>
        </w:tc>
        <w:tc>
          <w:tcPr>
            <w:tcW w:w="15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4,339</w:t>
            </w:r>
          </w:p>
        </w:tc>
        <w:tc>
          <w:tcPr>
            <w:tcW w:w="240" w:type="dxa"/>
            <w:vAlign w:val="bottom"/>
          </w:tcPr>
          <w:p>
            <w:pPr>
              <w:spacing w:after="0"/>
              <w:rPr>
                <w:sz w:val="19"/>
                <w:szCs w:val="19"/>
                <w:color w:val="auto"/>
              </w:rPr>
            </w:pP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3,548</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total benefit cost for the Company’s pension, DCP, and ESLIRP plans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4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10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4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benefit cost</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r>
      <w:tr>
        <w:trPr>
          <w:trHeight w:val="20"/>
        </w:trPr>
        <w:tc>
          <w:tcPr>
            <w:tcW w:w="5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assumptions used to determine projected benefit obligations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7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68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3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bl>
    <w:p>
      <w:pPr>
        <w:spacing w:after="0" w:line="1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discount rate reflects the rate the Company would have to pay to purchase high-quality investments that would provide cash sufficient to settle its current pension obligations.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7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506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long-term return on plan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bl>
    <w:p>
      <w:pPr>
        <w:spacing w:after="0" w:line="18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fiscal year 2023, new mortality improvement scales were issued in the U.S. and the United Kingdom (U.K.) reflecting a decline in longevity projection from previous releases the Company adopted, which decreased the Company’s benefit</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1600"/>
        <w:spacing w:after="0" w:line="375" w:lineRule="auto"/>
        <w:rPr>
          <w:sz w:val="20"/>
          <w:szCs w:val="20"/>
          <w:color w:val="auto"/>
        </w:rPr>
      </w:pPr>
      <w:r>
        <w:rPr>
          <w:rFonts w:ascii="Times New Roman" w:cs="Times New Roman" w:eastAsia="Times New Roman" w:hAnsi="Times New Roman"/>
          <w:sz w:val="18"/>
          <w:szCs w:val="18"/>
          <w:color w:val="auto"/>
        </w:rPr>
        <w:t xml:space="preserve">obligations by $3.5 million as of December 30, 2023. There were no new mortality improvement scales issued in fiscal 2025 or 2024. </w:t>
      </w:r>
      <w:r>
        <w:rPr>
          <w:rFonts w:ascii="Times New Roman" w:cs="Times New Roman" w:eastAsia="Times New Roman" w:hAnsi="Times New Roman"/>
          <w:sz w:val="18"/>
          <w:szCs w:val="18"/>
          <w:b w:val="1"/>
          <w:bCs w:val="1"/>
          <w:i w:val="1"/>
          <w:iCs w:val="1"/>
          <w:color w:val="auto"/>
        </w:rPr>
        <w:t>Plan Assets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invests its pension assets with the objective of achieving a total long-term rate of return sufficient to fund future pension obligations and to minimize future pension contributions. The Company is willing to tolerate a commensurate level of risk to achieve this objective. The Company controls its risk by maintaining a diversified portfolio of asset classes. Plan assets did not include any of the Company’s common stock as of December 27, 2025 or December 28, 2024. The weighted-average target asset allocations are 1.5% to equity securities, 93.2% to fixed income securities, and 5.3% to other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pension plan assets by asset category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1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192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11,962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Debt securities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183,758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126,965</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126,965</w:t>
            </w: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Mutual funds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11,080</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19,587</w:t>
            </w: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21,645</w:t>
            </w:r>
          </w:p>
        </w:tc>
        <w:tc>
          <w:tcPr>
            <w:tcW w:w="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21,702</w:t>
            </w:r>
          </w:p>
        </w:tc>
      </w:tr>
      <w:tr>
        <w:trPr>
          <w:trHeight w:val="237"/>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188,010</w:t>
            </w:r>
          </w:p>
        </w:tc>
        <w:tc>
          <w:tcPr>
            <w:tcW w:w="100" w:type="dxa"/>
            <w:vAlign w:val="bottom"/>
          </w:tcPr>
          <w:p>
            <w:pPr>
              <w:spacing w:after="0"/>
              <w:rPr>
                <w:sz w:val="20"/>
                <w:szCs w:val="20"/>
                <w:color w:val="auto"/>
              </w:rPr>
            </w:pPr>
          </w:p>
        </w:tc>
        <w:tc>
          <w:tcPr>
            <w:tcW w:w="74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196,166</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171,677</w:t>
            </w:r>
          </w:p>
        </w:tc>
        <w:tc>
          <w:tcPr>
            <w:tcW w:w="80" w:type="dxa"/>
            <w:vAlign w:val="bottom"/>
          </w:tcPr>
          <w:p>
            <w:pPr>
              <w:spacing w:after="0"/>
              <w:rPr>
                <w:sz w:val="20"/>
                <w:szCs w:val="20"/>
                <w:color w:val="auto"/>
              </w:rPr>
            </w:pP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182,647</w:t>
            </w:r>
          </w:p>
        </w:tc>
      </w:tr>
      <w:tr>
        <w:trPr>
          <w:trHeight w:val="20"/>
        </w:trPr>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840" w:right="540" w:hanging="166"/>
        <w:spacing w:after="0" w:line="234" w:lineRule="auto"/>
        <w:tabs>
          <w:tab w:leader="none" w:pos="810"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category comprises equity investments and securities held by non-U.S. pension plans valued at the quoted closing price and translated into U.S. dollars using a foreign currency exchange rate at year end.</w:t>
      </w:r>
    </w:p>
    <w:p>
      <w:pPr>
        <w:spacing w:after="0" w:line="1" w:lineRule="exact"/>
        <w:rPr>
          <w:rFonts w:ascii="Times New Roman" w:cs="Times New Roman" w:eastAsia="Times New Roman" w:hAnsi="Times New Roman"/>
          <w:sz w:val="17"/>
          <w:szCs w:val="17"/>
          <w:color w:val="auto"/>
          <w:vertAlign w:val="superscript"/>
        </w:rPr>
      </w:pPr>
    </w:p>
    <w:p>
      <w:pPr>
        <w:ind w:left="840" w:right="640" w:hanging="166"/>
        <w:spacing w:after="0" w:line="212" w:lineRule="auto"/>
        <w:tabs>
          <w:tab w:leader="none" w:pos="823"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category comprises debt investments and securities held by non-U.S. pension plans valued at the quoted closing price and translated into U.S. dollars using a foreign currency exchange rate at year end. Holdings primarily include treasury securities and investment-grade corporate bonds at various durations.</w:t>
      </w:r>
    </w:p>
    <w:p>
      <w:pPr>
        <w:spacing w:after="0" w:line="2" w:lineRule="exact"/>
        <w:rPr>
          <w:rFonts w:ascii="Times New Roman" w:cs="Times New Roman" w:eastAsia="Times New Roman" w:hAnsi="Times New Roman"/>
          <w:sz w:val="19"/>
          <w:szCs w:val="19"/>
          <w:color w:val="auto"/>
          <w:vertAlign w:val="superscript"/>
        </w:rPr>
      </w:pPr>
    </w:p>
    <w:p>
      <w:pPr>
        <w:ind w:left="840" w:right="240" w:hanging="166"/>
        <w:spacing w:after="0" w:line="212" w:lineRule="auto"/>
        <w:tabs>
          <w:tab w:leader="none" w:pos="823"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category comprises mutual funds valued at the net asset value of shares held by non-U.S. pension plans at year end and translated into U.S. dollars using a foreign currency exchange rate at year end.</w:t>
      </w:r>
    </w:p>
    <w:p>
      <w:pPr>
        <w:spacing w:after="0" w:line="2" w:lineRule="exact"/>
        <w:rPr>
          <w:rFonts w:ascii="Times New Roman" w:cs="Times New Roman" w:eastAsia="Times New Roman" w:hAnsi="Times New Roman"/>
          <w:sz w:val="19"/>
          <w:szCs w:val="19"/>
          <w:color w:val="auto"/>
          <w:vertAlign w:val="superscript"/>
        </w:rPr>
      </w:pPr>
    </w:p>
    <w:p>
      <w:pPr>
        <w:ind w:left="840" w:right="200" w:hanging="166"/>
        <w:spacing w:after="0" w:line="212" w:lineRule="auto"/>
        <w:tabs>
          <w:tab w:leader="none" w:pos="823"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category mainly comprises fixed income securities tied to various U.K. government bond yields held by non-US pension plans valued at the net asset value of shares held at year-end and translated into U.S. dollars using a foreign currency exchange rate at year end.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within the Level 3 pension plan assets was not material during the periods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2025, the Company contributed $0.2 million to the pension plans and expects to make $2.0 million of contributions in fiscal year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2025, the Company paid $1.8 million directly to certain participants outside of plan assets.</w:t>
      </w:r>
    </w:p>
    <w:p>
      <w:pPr>
        <w:spacing w:after="0" w:line="9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Expected benefit payments are estimated using the same assumptions used in determining the Company’s benefit obligation as of 2025. Benefit payments will depend on future employment and compensation levels, among other factors, and changes in any of these factors could significantly affect these estimated future benefit payments. Subsequent to fiscal year 2025, the Company’s Chief Executive Officer, James C. Foster, announced his retirement. In connection with this announcement, his associated balance within the Company’s DCP will be paid in fiscal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benefit payments during the next five years and in the aggregate for fiscal years 2031 through 2035,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88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40" w:type="dxa"/>
            <w:vAlign w:val="bottom"/>
          </w:tcPr>
          <w:p>
            <w:pPr>
              <w:spacing w:after="0"/>
              <w:rPr>
                <w:sz w:val="16"/>
                <w:szCs w:val="16"/>
                <w:color w:val="auto"/>
              </w:rPr>
            </w:pPr>
          </w:p>
        </w:tc>
        <w:tc>
          <w:tcPr>
            <w:tcW w:w="2320" w:type="dxa"/>
            <w:vAlign w:val="bottom"/>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Pension Plans</w:t>
            </w:r>
          </w:p>
        </w:tc>
      </w:tr>
      <w:tr>
        <w:trPr>
          <w:trHeight w:val="37"/>
        </w:trPr>
        <w:tc>
          <w:tcPr>
            <w:tcW w:w="2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186"/>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56,820</w:t>
            </w:r>
          </w:p>
        </w:tc>
      </w:tr>
      <w:tr>
        <w:trPr>
          <w:trHeight w:val="23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7,735</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8,435</w:t>
            </w:r>
          </w:p>
        </w:tc>
      </w:tr>
      <w:tr>
        <w:trPr>
          <w:trHeight w:val="23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9,848</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11,036</w:t>
            </w: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2031-2035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62,882</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River Laboratories Employee Savings Plan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Charles River Laboratories Employee Savings Plan is a defined contribution plan in the form of a qualified 401(k) plan in which substantially all U.S. employees are eligible to participate upon employment. The plan contains a provision whereby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7" w:name="page108"/>
    <w:bookmarkEnd w:id="10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Company matches a percentage of employee contributions. During fiscal years 2025, 2024, and 2023, the costs associated with this defined contribution plan totaled $26.9 million, $30.9 million, and $31.6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stock-based compensation plans under which employees and non-employee directors are granted stock-based awards such as stock options, RSUs, and PSUs.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2025, 2024, and 2023, the primary share-based awards and their general terms and conditions are as follows:</w:t>
      </w:r>
    </w:p>
    <w:p>
      <w:pPr>
        <w:spacing w:after="0" w:line="117" w:lineRule="exact"/>
        <w:rPr>
          <w:sz w:val="20"/>
          <w:szCs w:val="20"/>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which entitle the holder to purchase a specified number of shares of common stock at an exercise price equal to the closing market price of common stock on the date of grant; typically vest over 4 years; and typically expire 10 years from date of grant.</w:t>
      </w:r>
    </w:p>
    <w:p>
      <w:pPr>
        <w:spacing w:after="0" w:line="5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which represent an unsecured promise to grant at no cost a set number of shares of common stock upon the completion of the vesting schedule, and principally vest over 4 years. With respect to RSUs, recipients are not entitled to cash dividends and have no voting rights on the stock during the vesting period.</w:t>
      </w:r>
    </w:p>
    <w:p>
      <w:pPr>
        <w:spacing w:after="0" w:line="67"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which entitle the holder to receive at no cost, a specified number of shares of common stock within a range of shares from zero to a specified maximum and typically vest over 3 years. Payout of this award is contingent upon achievement of certain performance and market conditions.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27, 2025, approximately 2.2 million shares were authorized for future grants under the Company’s share-based compensation plans. The Company settles employee share-based compensation awards with newly issued shares. The following table provides stock-based compensation by the financial statement line item in which it is reflected:</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9"/>
              </w:rPr>
              <w:t>15,658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w w:val="99"/>
              </w:rPr>
              <w:t>15,052</w:t>
            </w:r>
          </w:p>
        </w:tc>
      </w:tr>
      <w:tr>
        <w:trPr>
          <w:trHeight w:val="236"/>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54,368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62"/>
              <w:spacing w:after="0"/>
              <w:rPr>
                <w:sz w:val="20"/>
                <w:szCs w:val="20"/>
                <w:color w:val="auto"/>
              </w:rPr>
            </w:pPr>
            <w:r>
              <w:rPr>
                <w:rFonts w:ascii="Times New Roman" w:cs="Times New Roman" w:eastAsia="Times New Roman" w:hAnsi="Times New Roman"/>
                <w:sz w:val="16"/>
                <w:szCs w:val="16"/>
                <w:color w:val="auto"/>
                <w:w w:val="99"/>
              </w:rPr>
              <w:t>54,233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color w:val="auto"/>
                <w:w w:val="99"/>
              </w:rPr>
              <w:t>56,996</w:t>
            </w:r>
          </w:p>
        </w:tc>
      </w:tr>
      <w:tr>
        <w:trPr>
          <w:trHeight w:val="24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before income taxes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71,083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9"/>
              </w:rPr>
              <w:t>69,891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w w:val="99"/>
              </w:rPr>
              <w:t>72,048</w:t>
            </w:r>
          </w:p>
        </w:tc>
      </w:tr>
      <w:tr>
        <w:trPr>
          <w:trHeight w:val="237"/>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(11,083)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rPr>
              <w:t>(10,487)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561"/>
              <w:spacing w:after="0"/>
              <w:rPr>
                <w:sz w:val="20"/>
                <w:szCs w:val="20"/>
                <w:color w:val="auto"/>
              </w:rPr>
            </w:pPr>
            <w:r>
              <w:rPr>
                <w:rFonts w:ascii="Times New Roman" w:cs="Times New Roman" w:eastAsia="Times New Roman" w:hAnsi="Times New Roman"/>
                <w:sz w:val="16"/>
                <w:szCs w:val="16"/>
                <w:color w:val="auto"/>
                <w:w w:val="98"/>
              </w:rPr>
              <w:t>(10,907)</w:t>
            </w:r>
          </w:p>
        </w:tc>
      </w:tr>
      <w:tr>
        <w:trPr>
          <w:trHeight w:val="268"/>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net of income taxes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center"/>
              <w:ind w:left="762"/>
              <w:spacing w:after="0"/>
              <w:rPr>
                <w:sz w:val="20"/>
                <w:szCs w:val="20"/>
                <w:color w:val="auto"/>
              </w:rPr>
            </w:pPr>
            <w:r>
              <w:rPr>
                <w:rFonts w:ascii="Times New Roman" w:cs="Times New Roman" w:eastAsia="Times New Roman" w:hAnsi="Times New Roman"/>
                <w:sz w:val="16"/>
                <w:szCs w:val="16"/>
                <w:color w:val="auto"/>
                <w:w w:val="99"/>
              </w:rPr>
              <w:t>59,404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w w:val="99"/>
              </w:rPr>
              <w:t>61,141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stock-based compensation related costs were capitalized in fiscal years 2025,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stock-based compensation plans: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4"/>
                <w:szCs w:val="14"/>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4040" w:type="dxa"/>
            <w:vAlign w:val="bottom"/>
          </w:tcPr>
          <w:p>
            <w:pPr>
              <w:spacing w:after="0"/>
              <w:rPr>
                <w:sz w:val="17"/>
                <w:szCs w:val="17"/>
                <w:color w:val="auto"/>
              </w:rPr>
            </w:pPr>
          </w:p>
        </w:tc>
        <w:tc>
          <w:tcPr>
            <w:tcW w:w="15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7"/>
                <w:szCs w:val="17"/>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0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4040" w:type="dxa"/>
            <w:vAlign w:val="bottom"/>
          </w:tcPr>
          <w:p>
            <w:pPr>
              <w:spacing w:after="0"/>
              <w:rPr>
                <w:sz w:val="16"/>
                <w:szCs w:val="16"/>
                <w:color w:val="auto"/>
              </w:rPr>
            </w:pPr>
          </w:p>
        </w:tc>
        <w:tc>
          <w:tcPr>
            <w:tcW w:w="15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0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28,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Options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Options 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7"/>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Options 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235.95</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27,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6,599</w:t>
            </w: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exercisable as of December 27,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236.41</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4,699</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 as of December 27,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6,599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was estimated using the Black-Scholes option-pricing model with the following weighted-average assumptions:</w:t>
      </w:r>
    </w:p>
    <w:p>
      <w:pPr>
        <w:spacing w:after="0" w:line="16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41910</wp:posOffset>
            </wp:positionV>
            <wp:extent cx="33864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260" w:type="dxa"/>
            <w:vAlign w:val="bottom"/>
            <w:gridSpan w:val="2"/>
          </w:tcPr>
          <w:p>
            <w:pPr>
              <w:ind w:left="58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7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6"/>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3"/>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53"/>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2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stock options granted was $61.63, $92.21, and $80.98 for fiscal years 2025, 2024, and 2023, respectively.</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27, 2025, the unrecognized compensation cost related to unvested stock options expected to vest was $5.9 million. This unrecognized compensation will be recognized over an estimated weighted-average amortization period of 1.5 years.</w:t>
      </w:r>
    </w:p>
    <w:p>
      <w:pPr>
        <w:spacing w:after="0" w:line="5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fiscal years 2025, 2024, and 2023 was less than $0.1 million, $12.8 million, and $18.2 million, respectively, with intrinsic value defined as the difference between the market price on the date of exercise and the exercise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activity for fiscal year 2025:</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r>
      <w:tr>
        <w:trPr>
          <w:trHeight w:val="204"/>
        </w:trPr>
        <w:tc>
          <w:tcPr>
            <w:tcW w:w="5940" w:type="dxa"/>
            <w:vAlign w:val="bottom"/>
          </w:tcPr>
          <w:p>
            <w:pPr>
              <w:spacing w:after="0"/>
              <w:rPr>
                <w:sz w:val="17"/>
                <w:szCs w:val="17"/>
                <w:color w:val="auto"/>
              </w:rPr>
            </w:pPr>
          </w:p>
        </w:tc>
        <w:tc>
          <w:tcPr>
            <w:tcW w:w="18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94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186"/>
        </w:trPr>
        <w:tc>
          <w:tcPr>
            <w:tcW w:w="5940" w:type="dxa"/>
            <w:vAlign w:val="bottom"/>
          </w:tcPr>
          <w:p>
            <w:pPr>
              <w:spacing w:after="0"/>
              <w:rPr>
                <w:sz w:val="16"/>
                <w:szCs w:val="16"/>
                <w:color w:val="auto"/>
              </w:rPr>
            </w:pPr>
          </w:p>
        </w:tc>
        <w:tc>
          <w:tcPr>
            <w:tcW w:w="18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7"/>
        </w:trPr>
        <w:tc>
          <w:tcPr>
            <w:tcW w:w="59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4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211.59</w:t>
            </w:r>
          </w:p>
        </w:tc>
      </w:tr>
      <w:tr>
        <w:trPr>
          <w:trHeight w:val="23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137.19</w:t>
            </w:r>
          </w:p>
        </w:tc>
      </w:tr>
      <w:tr>
        <w:trPr>
          <w:trHeight w:val="253"/>
        </w:trPr>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(152)</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221.48</w:t>
            </w:r>
          </w:p>
        </w:tc>
      </w:tr>
      <w:tr>
        <w:trPr>
          <w:trHeight w:val="236"/>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Canceled</w:t>
            </w:r>
          </w:p>
        </w:tc>
        <w:tc>
          <w:tcPr>
            <w:tcW w:w="1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191.67</w:t>
            </w:r>
          </w:p>
        </w:tc>
      </w:tr>
      <w:tr>
        <w:trPr>
          <w:trHeight w:val="26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166.46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27, 2025, the unrecognized compensation cost related to shares of unvested RSUs expected to vest was $77.8 million, which is expected to be recognized over an estimated weighted-average amortization period of 2.4 years. The total fair value of RSU grants that vested during fiscal years 2025, 2024, and 2023 was $33.7 million, $33.7 million, and $28.4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Stock Award Program</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issues PSUs to certain corporate officers. The number of shares of common stock issued for each PSU is adjusted based on a performance condition linked to the Company’s financial performance. The awards are further adjusted based on a market condition, which is calculated based on the Company’s stock performance relative to a peer group over the three-year vesting period. The fair value of the market condition is reflected in the fair value of the award at grant date.</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utilizes a Monte Carlo simulation valuation model to value these awards. Information pertaining to the Company’s PSUs and the related estimated weighted-average assumptions used to calculate their fair value were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6"/>
                <w:szCs w:val="16"/>
                <w:color w:val="auto"/>
              </w:rPr>
            </w:pPr>
          </w:p>
        </w:tc>
        <w:tc>
          <w:tcPr>
            <w:tcW w:w="1320" w:type="dxa"/>
            <w:vAlign w:val="bottom"/>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PSUs granted</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136</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131.08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213.99</w:t>
            </w:r>
          </w:p>
        </w:tc>
        <w:tc>
          <w:tcPr>
            <w:tcW w:w="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204.40</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Key assumptions: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volatility</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5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Risk-free interest rate</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3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dividend yield</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4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5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 return of 20-trading day average stock price on grant date</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maximum number of common shares to be issued upon vesting of PSUs is 0.4 million. For fiscal years 2025, 2024, and 2023, the Company recognized stock-based compensation related to PSUs of $24.8 million, $22.4 million, and $28.1 million, respectively. The total fair value of PSUs that vested during fiscal years 2025, 2024, and 2023 was $30.0 million, $19.4 million, and $34.4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ASSET IMPAIRMENTS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undertaken restructuring actions impacting the reportable segments at various locations across North America, Europe and Asia to manage the Company through the current demand environment, including appropriately right-sizing the Company’s infrastructure, optimizing operations, and driving efficiency. This includes workforce right-sizing actions resulting in severance and transition costs; and costs related to the consolidation of facilities resulting in long-lived asset impairments (principally property, plant, and equipment and right-of-use assets), accelerated depreciation charges, and certain other costs. Generally, these actions are in response to recent macroeconomic impacts on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3,479</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16,176</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9,138</w:t>
            </w:r>
          </w:p>
        </w:tc>
      </w:tr>
      <w:tr>
        <w:trPr>
          <w:trHeight w:val="237"/>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889</w:t>
            </w:r>
          </w:p>
        </w:tc>
      </w:tr>
      <w:tr>
        <w:trPr>
          <w:trHeight w:val="268"/>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29,682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restructuring costs as included within the Company’s consolidated statements of income (loss) for fiscal years 2025, 2024 and 2023:</w:t>
      </w:r>
    </w:p>
    <w:p>
      <w:pPr>
        <w:spacing w:after="0" w:line="101" w:lineRule="exact"/>
        <w:rPr>
          <w:sz w:val="20"/>
          <w:szCs w:val="20"/>
          <w:color w:val="auto"/>
        </w:rPr>
      </w:pPr>
    </w:p>
    <w:tbl>
      <w:tblPr>
        <w:tblLayout w:type="fixed"/>
        <w:tblInd w:w="68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20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Asset Impairments and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202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6"/>
        </w:trPr>
        <w:tc>
          <w:tcPr>
            <w:tcW w:w="4960" w:type="dxa"/>
            <w:vAlign w:val="bottom"/>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27, 2025</w:t>
            </w: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69,276</w:t>
            </w:r>
          </w:p>
        </w:tc>
      </w:tr>
      <w:tr>
        <w:trPr>
          <w:trHeight w:val="233"/>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12,088</w:t>
            </w:r>
          </w:p>
        </w:tc>
      </w:tr>
      <w:tr>
        <w:trPr>
          <w:trHeight w:val="24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18,450</w:t>
            </w:r>
          </w:p>
        </w:tc>
      </w:tr>
      <w:tr>
        <w:trPr>
          <w:trHeight w:val="24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29,010</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70,804</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99,814</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28, 2024</w:t>
            </w: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54,991</w:t>
            </w:r>
          </w:p>
        </w:tc>
      </w:tr>
      <w:tr>
        <w:trPr>
          <w:trHeight w:val="233"/>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w:t>
            </w:r>
          </w:p>
        </w:tc>
      </w:tr>
      <w:tr>
        <w:trPr>
          <w:trHeight w:val="24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30,860</w:t>
            </w:r>
          </w:p>
        </w:tc>
      </w:tr>
      <w:tr>
        <w:trPr>
          <w:trHeight w:val="24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54,185</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52,800</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106,985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4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30, 2023</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22,220</w:t>
            </w:r>
          </w:p>
        </w:tc>
      </w:tr>
      <w:tr>
        <w:trPr>
          <w:trHeight w:val="233"/>
        </w:trPr>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r>
      <w:tr>
        <w:trPr>
          <w:trHeight w:val="246"/>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r>
      <w:tr>
        <w:trPr>
          <w:trHeight w:val="24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18,074</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29,682</w:t>
            </w:r>
          </w:p>
        </w:tc>
      </w:tr>
      <w:tr>
        <w:trPr>
          <w:trHeight w:val="20"/>
        </w:trPr>
        <w:tc>
          <w:tcPr>
            <w:tcW w:w="4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for all of the Company’s severance and transition costs related to all restructuring activities:</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Transition</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Asset Impairments</w:t>
            </w:r>
          </w:p>
        </w:tc>
        <w:tc>
          <w:tcPr>
            <w:tcW w:w="4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80" w:type="dxa"/>
            <w:vAlign w:val="bottom"/>
          </w:tcPr>
          <w:p>
            <w:pPr>
              <w:spacing w:after="0"/>
              <w:rPr>
                <w:sz w:val="13"/>
                <w:szCs w:val="13"/>
                <w:color w:val="auto"/>
              </w:rPr>
            </w:pPr>
          </w:p>
        </w:tc>
        <w:tc>
          <w:tcPr>
            <w:tcW w:w="1280" w:type="dxa"/>
            <w:vAlign w:val="bottom"/>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30, 2023</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29,682</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28, 2024</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106,985</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(43,339)</w:t>
            </w: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(43,079)</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9"/>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27, 2025</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99,814</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(58,465)</w:t>
            </w:r>
          </w:p>
        </w:tc>
        <w:tc>
          <w:tcPr>
            <w:tcW w:w="0" w:type="dxa"/>
            <w:vAlign w:val="bottom"/>
          </w:tcPr>
          <w:p>
            <w:pPr>
              <w:spacing w:after="0"/>
              <w:rPr>
                <w:sz w:val="1"/>
                <w:szCs w:val="1"/>
                <w:color w:val="auto"/>
              </w:rPr>
            </w:pPr>
          </w:p>
        </w:tc>
      </w:tr>
      <w:tr>
        <w:trPr>
          <w:trHeight w:val="213"/>
        </w:trPr>
        <w:tc>
          <w:tcPr>
            <w:tcW w:w="3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(44,028)</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0"/>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27, 2025 and December 28, 2024, $23.0 million and $25.3 million, respectively, of severance and other personnel related costs liabilities were included in accrued compensation and accrued liabilities within the Company’s consolidated balance sheets.</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11" w:name="page112"/>
    <w:bookmarkEnd w:id="11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Finance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lease assets and lease liabilities are reported in the Company’s consolidated balance sheets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6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361,415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412,490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54,159</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434,048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483,789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491,711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537,948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8"/>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2,774</w:t>
            </w:r>
          </w:p>
        </w:tc>
      </w:tr>
      <w:tr>
        <w:trPr>
          <w:trHeight w:val="236"/>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24,648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25,670</w:t>
            </w:r>
          </w:p>
        </w:tc>
      </w:tr>
      <w:tr>
        <w:trPr>
          <w:trHeight w:val="26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27,876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28,444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operating and finance lease costs within the Company’s consolidated statements of income (loss):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65,380</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r>
      <w:tr>
        <w:trPr>
          <w:trHeight w:val="23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22,159</w:t>
            </w:r>
          </w:p>
        </w:tc>
      </w:tr>
      <w:tr>
        <w:trPr>
          <w:trHeight w:val="24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113,927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93,275</w:t>
            </w: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12" w:name="page113"/>
    <w:bookmarkEnd w:id="11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03"/>
        </w:trPr>
        <w:tc>
          <w:tcPr>
            <w:tcW w:w="660" w:type="dxa"/>
            <w:vAlign w:val="bottom"/>
          </w:tcPr>
          <w:p>
            <w:pPr>
              <w:spacing w:after="0"/>
              <w:rPr>
                <w:sz w:val="17"/>
                <w:szCs w:val="17"/>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included in the measurement of lease liabilities:</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33"/>
        </w:trPr>
        <w:tc>
          <w:tcPr>
            <w:tcW w:w="66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78,730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74,732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60,239</w:t>
            </w:r>
          </w:p>
        </w:tc>
      </w:tr>
      <w:tr>
        <w:trPr>
          <w:trHeight w:val="253"/>
        </w:trPr>
        <w:tc>
          <w:tcPr>
            <w:tcW w:w="660" w:type="dxa"/>
            <w:vAlign w:val="bottom"/>
          </w:tcPr>
          <w:p>
            <w:pPr>
              <w:spacing w:after="0"/>
              <w:rPr>
                <w:sz w:val="21"/>
                <w:szCs w:val="21"/>
                <w:color w:val="auto"/>
              </w:rPr>
            </w:pPr>
          </w:p>
        </w:tc>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4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1,529</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1,476</w:t>
            </w:r>
          </w:p>
        </w:tc>
      </w:tr>
      <w:tr>
        <w:trPr>
          <w:trHeight w:val="233"/>
        </w:trPr>
        <w:tc>
          <w:tcPr>
            <w:tcW w:w="66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Finance cash flows from finance leases</w:t>
            </w:r>
          </w:p>
        </w:tc>
        <w:tc>
          <w:tcPr>
            <w:tcW w:w="40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3,591</w:t>
            </w:r>
          </w:p>
        </w:tc>
        <w:tc>
          <w:tcPr>
            <w:tcW w:w="18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2,917</w:t>
            </w:r>
          </w:p>
        </w:tc>
        <w:tc>
          <w:tcPr>
            <w:tcW w:w="24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2,297</w:t>
            </w:r>
          </w:p>
        </w:tc>
      </w:tr>
      <w:tr>
        <w:trPr>
          <w:trHeight w:val="280"/>
        </w:trPr>
        <w:tc>
          <w:tcPr>
            <w:tcW w:w="660" w:type="dxa"/>
            <w:vAlign w:val="bottom"/>
          </w:tcPr>
          <w:p>
            <w:pPr>
              <w:spacing w:after="0"/>
              <w:rPr>
                <w:sz w:val="24"/>
                <w:szCs w:val="24"/>
                <w:color w:val="auto"/>
              </w:rPr>
            </w:pPr>
          </w:p>
        </w:tc>
        <w:tc>
          <w:tcPr>
            <w:tcW w:w="5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leases activity:</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8"/>
        </w:trPr>
        <w:tc>
          <w:tcPr>
            <w:tcW w:w="660" w:type="dxa"/>
            <w:vAlign w:val="bottom"/>
          </w:tcPr>
          <w:p>
            <w:pPr>
              <w:spacing w:after="0"/>
              <w:rPr>
                <w:sz w:val="18"/>
                <w:szCs w:val="18"/>
                <w:color w:val="auto"/>
              </w:rPr>
            </w:pPr>
          </w:p>
        </w:tc>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lease assets obtained in exchange for new operating lease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114,740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75,987</w:t>
            </w:r>
          </w:p>
        </w:tc>
      </w:tr>
      <w:tr>
        <w:trPr>
          <w:trHeight w:val="224"/>
        </w:trPr>
        <w:tc>
          <w:tcPr>
            <w:tcW w:w="66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Right-of-use lease assets obtained in exchange for new finance lease liabilities</w:t>
            </w:r>
          </w:p>
        </w:tc>
        <w:tc>
          <w:tcPr>
            <w:tcW w:w="4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3,214</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438"/>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8"/>
        </w:trPr>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Pr>
          <w:p>
            <w:pPr>
              <w:spacing w:after="0"/>
              <w:rPr>
                <w:sz w:val="24"/>
                <w:szCs w:val="24"/>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Pr>
          <w:p>
            <w:pPr>
              <w:spacing w:after="0"/>
              <w:rPr>
                <w:sz w:val="24"/>
                <w:szCs w:val="24"/>
                <w:color w:val="auto"/>
              </w:rPr>
            </w:pPr>
          </w:p>
        </w:tc>
        <w:tc>
          <w:tcPr>
            <w:tcW w:w="15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660" w:type="dxa"/>
            <w:vAlign w:val="bottom"/>
          </w:tcPr>
          <w:p>
            <w:pPr>
              <w:spacing w:after="0"/>
              <w:rPr>
                <w:sz w:val="3"/>
                <w:szCs w:val="3"/>
                <w:color w:val="auto"/>
              </w:rPr>
            </w:pPr>
          </w:p>
        </w:tc>
        <w:tc>
          <w:tcPr>
            <w:tcW w:w="50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0"/>
        </w:trPr>
        <w:tc>
          <w:tcPr>
            <w:tcW w:w="660" w:type="dxa"/>
            <w:vAlign w:val="bottom"/>
          </w:tcPr>
          <w:p>
            <w:pPr>
              <w:spacing w:after="0"/>
              <w:rPr>
                <w:sz w:val="16"/>
                <w:szCs w:val="16"/>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 (in years)</w:t>
            </w: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233"/>
        </w:trPr>
        <w:tc>
          <w:tcPr>
            <w:tcW w:w="66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lease</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53"/>
        </w:trPr>
        <w:tc>
          <w:tcPr>
            <w:tcW w:w="660" w:type="dxa"/>
            <w:vAlign w:val="bottom"/>
          </w:tcPr>
          <w:p>
            <w:pPr>
              <w:spacing w:after="0"/>
              <w:rPr>
                <w:sz w:val="21"/>
                <w:szCs w:val="21"/>
                <w:color w:val="auto"/>
              </w:rPr>
            </w:pPr>
          </w:p>
        </w:tc>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193"/>
        </w:trPr>
        <w:tc>
          <w:tcPr>
            <w:tcW w:w="660" w:type="dxa"/>
            <w:vAlign w:val="bottom"/>
          </w:tcPr>
          <w:p>
            <w:pPr>
              <w:spacing w:after="0"/>
              <w:rPr>
                <w:sz w:val="16"/>
                <w:szCs w:val="16"/>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660" w:type="dxa"/>
            <w:vAlign w:val="bottom"/>
          </w:tcPr>
          <w:p>
            <w:pPr>
              <w:spacing w:after="0"/>
              <w:rPr>
                <w:sz w:val="21"/>
                <w:szCs w:val="21"/>
                <w:color w:val="auto"/>
              </w:rPr>
            </w:pPr>
          </w:p>
        </w:tc>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23"/>
        </w:trPr>
        <w:tc>
          <w:tcPr>
            <w:tcW w:w="66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Finance lease</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r>
    </w:tbl>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lease commencement date, the discount rate implicit in the lease is used to discount the lease liability if readily determinable. If not readily determinable or leases do not contain an implicit rate, the Company’s incremental borrowing rate is used as the discount rate, which is based on the information available at the lease commencement date and represents a rate that would be incurred to borrow, on a collateralized basis, over a similar term, an amount equal to the lease payments in a similar economic environment.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maturities of operating and finance lease liabilities for each of the following five years and a total thereafter were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7"/>
        </w:trPr>
        <w:tc>
          <w:tcPr>
            <w:tcW w:w="70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80,710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79,099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72,608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66,566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w:t>
            </w:r>
          </w:p>
        </w:tc>
      </w:tr>
      <w:tr>
        <w:trPr>
          <w:trHeight w:val="23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258,107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18,222</w:t>
            </w:r>
          </w:p>
        </w:tc>
      </w:tr>
      <w:tr>
        <w:trPr>
          <w:trHeight w:val="24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minimum future lease payments</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619,898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36,988</w:t>
            </w:r>
          </w:p>
        </w:tc>
      </w:tr>
      <w:tr>
        <w:trPr>
          <w:trHeight w:val="23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128,187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9,112</w:t>
            </w:r>
          </w:p>
        </w:tc>
      </w:tr>
      <w:tr>
        <w:trPr>
          <w:trHeight w:val="268"/>
        </w:trPr>
        <w:tc>
          <w:tcPr>
            <w:tcW w:w="7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491,711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minimum future lease payments (relating to an operating lease) of approximately $7 million for a lease that has not commenced as of December 27, 2025, as the Company does not yet control the underlying asset, are not included in the consolidated financial statements. This lease is expected to commence in fiscal year 2026 with a lease term of approximately 13 years.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maintains certain insurance policies that maintain large deductibles up to approximately $2 million, some with or without stop-loss limits, depending on market availability. Insurance policies at certain locations are based on a percentage of the insured assets, for which deductibles for certain property may exceed $15.0 million in the event of a catastrophic event. In addition, the Company purchased representation and warranty insurance in support of some acquisitions, in which deductibles could reach $4.4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17, 2023, the Company received a grand jury subpoena requesting certain documents related to an investigation by the U.S. Department of Justice (DOJ) and the U.S. Fish and Wildlife Service (USFWS) into the Company’s conduct regarding several shipments of non-human primates from Cambodia in late 2022 and early 2023 (the NHP Shipments). The DOJ also undertook a parallel civil investigation related to the NHP Shipments. Due to a number of factors, including the age of these NHP’s, during the fourth quarter of fiscal year 2024, the Company recorded a charge of $27 million to costs of products sold within the accompanying consolidated statements of income (loss) to reflect the reduction in carrying value of this inventory to zero. In July 2025, the Company was informed that USFWS had determined to clear the NHP Shipments for legal entry into the United States. Furthermore, in August 2025 the Company was advised by the DOJ that both the grand jury investigation and the parallel civil investigation had been closed.</w:t>
      </w:r>
    </w:p>
    <w:p>
      <w:pPr>
        <w:spacing w:after="0" w:line="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May 16, 2023, the Company received an inquiry from the Enforcement Division of the U.S. Securities and Exchange Commission (SEC) requesting it to voluntarily provide information, subsequently augmented with a document subpoena and additional inquiries, primarily related to the sourcing of non-human primates and related disclosures, and the Company cooperated with the requests. The Company’s Audit Committee retained counsel to conduct an independent investigation into certain issues raised in the investigations. On November 14, 2025, the SEC’s Division of Enforcement (Division) notified the Company that it concluded its investigation and, based on the information available to the Division, it does not intend to recommend an enforcement action by the SEC against the Company. Similarly, the Company’s independent investigation into these matters has also concluded, with no material findings.</w:t>
      </w:r>
    </w:p>
    <w:p>
      <w:pPr>
        <w:spacing w:after="0" w:line="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the plaintiff filed a notice of appeal in the United States Court of Appeals for the First Circuit. Oral arguments took place on May 5, 2025. On August 15, 2025, the U.S. Court of Appeals for the First Circuit reversed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statutory standing, and substitute Oklahoma Firefighters Pension and Retirement System.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a former Chief Financial Officer; and Flavia Pease, a former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Aside from the matters above, the Company believes there are no other matters pending against the Company that could have a material impact on the Company’s business, financial condition, or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enters into unconditional purchase obligations, in the ordinary course of business, that include agreements to purchase goods or services that are enforceable and legally binding and that specify all significant terms including: fixed or minimum quantities to be purchased; fixed, minimum or variable price provisions; and the approximate timing of the transaction. These unconditional purchase obligations exclude agreements that are cancellable at any time without penalty. The aggregate amount of the Company’s unconditional purchase obligations totaled approximately $340 million as of December 27, 2025 and the majority of these obligations are expected to be settled during 2026.</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December 27, 2025,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assurances of achieving the desired control objectives, and management necessarily was required to apply its judgment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designing and evaluating the controls and procedures</w:t>
      </w:r>
      <w:r>
        <w:rPr>
          <w:rFonts w:ascii="Times New Roman" w:cs="Times New Roman" w:eastAsia="Times New Roman" w:hAnsi="Times New Roman"/>
          <w:sz w:val="21"/>
          <w:szCs w:val="21"/>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CEO and CFO,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our assessment and those criteria, management concluded that the Company maintained effective internal control over financial reporting as of December 27, 2025.</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27, 2025, has been audited by PricewaterhouseCoopers LLP, an Independent Registered Public Accounting Firm, as stated in their report which appears in Item 8, “Financial Statements and Supplementary Data”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Controls Over Financial Reporting</w:t>
      </w:r>
    </w:p>
    <w:p>
      <w:pPr>
        <w:spacing w:after="0" w:line="12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 over financial reporting identified in connection with the evaluation required by paragraph (d) of the Exchange Act Rules 13a-15 or 15d-15 that occurred during the fourth quarter of 2025 that materially affected, or were reasonably likely to materially affect, the Company’s internal control over financial reporting.</w:t>
      </w:r>
    </w:p>
    <w:p>
      <w:pPr>
        <w:spacing w:after="0" w:line="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27, 2025,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spacing w:after="0" w:line="64" w:lineRule="exact"/>
        <w:rPr>
          <w:sz w:val="20"/>
          <w:szCs w:val="20"/>
          <w:color w:val="auto"/>
        </w:rPr>
      </w:pPr>
    </w:p>
    <w:p>
      <w:pPr>
        <w:ind w:right="52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6" w:name="page117"/>
    <w:bookmarkEnd w:id="1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1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17"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Directors and Compliance with Section 16(a) of the Exchange Act</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Any information required by this Item regarding our directors and compliance with Section 16(a) of the Exchange Act by our officers and directors will be included in the 2026 Proxy Statement under the sections captioned “Nominees for Directors” and “Delinquent Section 16(a) Reports” and is incorporated herein by reference thereto. The information required by this Item regarding our corporate governance will be included in the 2026 Proxy Statement under the section captioned “Corporate Governance” and is incorporated herein by reference thereto.</w:t>
      </w:r>
    </w:p>
    <w:p>
      <w:pPr>
        <w:spacing w:after="0" w:line="68"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Our Executive Officers</w:t>
      </w:r>
    </w:p>
    <w:p>
      <w:pPr>
        <w:spacing w:after="0" w:line="121" w:lineRule="exact"/>
        <w:rPr>
          <w:sz w:val="20"/>
          <w:szCs w:val="20"/>
          <w:color w:val="auto"/>
        </w:rPr>
      </w:pPr>
    </w:p>
    <w:p>
      <w:pPr>
        <w:ind w:right="600"/>
        <w:spacing w:after="0" w:line="375" w:lineRule="auto"/>
        <w:rPr>
          <w:sz w:val="20"/>
          <w:szCs w:val="20"/>
          <w:color w:val="auto"/>
        </w:rPr>
      </w:pPr>
      <w:r>
        <w:rPr>
          <w:rFonts w:ascii="Times New Roman" w:cs="Times New Roman" w:eastAsia="Times New Roman" w:hAnsi="Times New Roman"/>
          <w:sz w:val="18"/>
          <w:szCs w:val="18"/>
          <w:color w:val="auto"/>
        </w:rPr>
        <w:t xml:space="preserve">The information required by this Item regarding our executive officers is reported in Part I of this Form 10-K under the heading “Item 1. Business” </w:t>
      </w:r>
      <w:r>
        <w:rPr>
          <w:rFonts w:ascii="Times New Roman" w:cs="Times New Roman" w:eastAsia="Times New Roman" w:hAnsi="Times New Roman"/>
          <w:sz w:val="18"/>
          <w:szCs w:val="18"/>
          <w:b w:val="1"/>
          <w:bCs w:val="1"/>
          <w:i w:val="1"/>
          <w:iCs w:val="1"/>
          <w:color w:val="auto"/>
        </w:rPr>
        <w:t>C. Audit Committee Financial Expert</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the audit committee of the Board of Directors and financial experts will be included in the 2026 Proxy Statement under the section captioned “The Board of Directors and its Committees-Audit Committee and Financial Experts” and is incorporated herein by reference thereto.</w:t>
      </w:r>
    </w:p>
    <w:p>
      <w:pPr>
        <w:spacing w:after="0" w:line="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Insider Trading Policy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and employees of the Company. The Insider Trading Policy is designed to promote compliance with insider trading laws, rules, and regulations and any applicable listing standards. Our Insider Trading Policy is posted on our website and can be accessed by selecting the “Corporate Governance” link at http://ir.criver.com.</w:t>
      </w:r>
    </w:p>
    <w:p>
      <w:pPr>
        <w:spacing w:after="0" w:line="64"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of our employees and directors, including our principal executive officer, principal financial officer, principal accounting officer, controller, or persons performing similar functions. Our Code of Business Conduct and Ethics is posted on our website and can be accessed by selecting the “Corporate Governance” link at http://ir.criver.com. We will provide to any person, without charge, a copy of our Code of Business Conduct and Ethics. To obtain a copy, please mail a request to the Corporate Secretary, Charles River Laboratories International, Inc., 251 Ballardvale Street, Wilmington, MA 01887. Information on our website is not incorporated by reference in this annual report.</w:t>
      </w:r>
    </w:p>
    <w:p>
      <w:pPr>
        <w:spacing w:after="0" w:line="56"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to Board Nomination Procedures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Since December 2021, there have been no material changes to the procedures by which security holders may recommend nominees to our Board of Directors.</w:t>
      </w:r>
    </w:p>
    <w:p>
      <w:pPr>
        <w:spacing w:after="0" w:line="5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17"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Policies and Practices for Granting Certain Equity Awards.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is responsible for the review and approval of our policies and practices with respect to granting equity awards. The Compensation Committee typically targets the second quarter of our fiscal year, shortly after our annual meeting of shareholders and the release of our first quarter financial results, for granting annual stock awards to eligible recipients, absent an extraordinary event. The Compensation Committee believes this aligns timing of equity grants with the planning of annual salary increases (also in the second quarter of our fiscal year), allowing our managers to take a holistic view of total compensation.</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seeks to structure equity grants so that they are awarded during an open window period as designated by our Insider Trading Policy, or, if Compensation Committee approval is provided during a non-window period, are typically made effective on the first business day following our press release with respect to financial results for the prior quarter. This policy is intended to ensure that options are awarded at a time when the exercise price fully reflects all recently disclosed information. In the case of new hires eligible to receive equity grants, grants are generally made on the first business day of the month following the date the individual commences employment.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grants to executive officers are approved by the Compensation Committee itself and not pursuant to any delegated authority.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never had any programs, policies, or practices which are intended to time stock option grants with the release of material, non-public information in a manner that would provide advantageous option exercise prices to grant recipients. Option exercise prices are, in all cases, equal to the closing price of our common stock on the date of grant.</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2025, we did not award options to any named executive officer in the period beginning four business days before and ending one business day after the filing of a Form 10-Q or Form 10-K, or the filing or furnishing of a Form 8-k that discloses material nonpublic information.</w:t>
      </w:r>
    </w:p>
    <w:p>
      <w:pPr>
        <w:spacing w:after="0" w:line="50"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Actions to Recover Erroneously Awarded Compensation</w:t>
      </w:r>
    </w:p>
    <w:p>
      <w:pPr>
        <w:spacing w:after="0" w:line="12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At no point during or after the last completed fiscal year did we prepare an accounting statement that required the recovery of erroneously awarded compensation pursuant to the company’s clawback policy, nor was there an outstanding balance as of the end of the last completed fiscal year of erroneously awarded compensation to be recovered from the application of the policy to a prior restatement.</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remainder of the information required by this Item will be included in the 2026 Proxy Statement under the sections captioned “2025 Director Compensation,” “Compensation Discussion and Analysis,” “Executive Compensation and Related Information,” “Compensation Committee Interlocks and Insider Participation” and “Report of Compensation Committee,” and is incorporated herein by reference thereto.</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sections captioned “Beneficial Ownership of Securities” and “Equity Compensation Plan Information” and is incorporated herein by reference thereto.</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sections captioned “Related Person Transaction Policy” and “Corporate Governance-Director Qualification Standards; Director Independence” and is incorporated herein by reference thereto.</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 captioned “Statement of Fees Paid to Independent Registered Public Accounting Firm” and is incorporated herein by reference thereto.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1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15(a)(1) and (2) Financial Statements and Schedules</w:t>
      </w:r>
    </w:p>
    <w:p>
      <w:pPr>
        <w:spacing w:after="0" w:line="121" w:lineRule="exact"/>
        <w:rPr>
          <w:sz w:val="20"/>
          <w:szCs w:val="20"/>
          <w:color w:val="auto"/>
        </w:rPr>
      </w:pPr>
    </w:p>
    <w:p>
      <w:pPr>
        <w:jc w:val="both"/>
        <w:ind w:right="480"/>
        <w:spacing w:after="0" w:line="312" w:lineRule="auto"/>
        <w:rPr>
          <w:sz w:val="20"/>
          <w:szCs w:val="20"/>
          <w:color w:val="auto"/>
        </w:rPr>
      </w:pPr>
      <w:r>
        <w:rPr>
          <w:rFonts w:ascii="Times New Roman" w:cs="Times New Roman" w:eastAsia="Times New Roman" w:hAnsi="Times New Roman"/>
          <w:sz w:val="17"/>
          <w:szCs w:val="17"/>
          <w:color w:val="auto"/>
        </w:rPr>
        <w:t>See "Index to Consolidated Financial Statements and Financial Statements Schedules" at Item 8 to this Annual Report on Form 10-K. Other financial statement schedules have not been included because they are not applicable or the information is included in the financial statements or notes thereto.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15(a)(3) and Item 15(b)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below each management contract and compensation plan filed as an exhibit to this Annual Report on Form 10-K.</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60" w:type="dxa"/>
            <w:vAlign w:val="bottom"/>
          </w:tcPr>
          <w:p>
            <w:pPr>
              <w:spacing w:after="0"/>
              <w:rPr>
                <w:sz w:val="16"/>
                <w:szCs w:val="16"/>
                <w:color w:val="auto"/>
              </w:rPr>
            </w:pP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24"/>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Second Amended and Restated Certificate of Incorporation of Charles River Laboratories</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June 23, 2000</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International, Inc. dated June 5, 2000</w:t>
              </w:r>
            </w:hyperlink>
          </w:p>
        </w:tc>
        <w:tc>
          <w:tcPr>
            <w:tcW w:w="34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Sixth Amended and Restated By-Laws of Charles River Laboratories International, Inc.</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December 15, 2021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 xml:space="preserve">Form of Common Stock certificate,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0.01 par value, of Charles River Laboratories</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S-1/A</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June 23, 2000</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536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International, Inc.</w:t>
              </w:r>
            </w:hyperlink>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Description of Securities</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11, 2020</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Charles River Laboratories International, Inc. Form of Performance Share Unit granted</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5, 2020</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0" w:type="dxa"/>
            <w:vAlign w:val="bottom"/>
          </w:tcPr>
          <w:p>
            <w:pPr>
              <w:spacing w:after="0"/>
              <w:rPr>
                <w:sz w:val="1"/>
                <w:szCs w:val="1"/>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566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under the 2018 Incentive Plan</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4.4</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Charles River Laboratories International, Inc. Indenture Agreement with MUFG Union</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April 3, 2018</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68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Bank, N.A. as Trustee dated April 3, 2018</w:t>
              </w:r>
            </w:hyperlink>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Charles River Laboratories International, Inc. Second Supplemental Indenture, dates as of</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October 23, 2019</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390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October 23, 2019, to the Indenture dated as of April 3, 2018</w:t>
              </w:r>
            </w:hyperlink>
          </w:p>
        </w:tc>
        <w:tc>
          <w:tcPr>
            <w:tcW w:w="194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4.6</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Form of Note for 4.250% Senior Notes due 2028</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October 23, 2019</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4.7</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Indenture, dated as of March 23, 2021, between Charles River International, Inc. and U.S.</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March 23, 2021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244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Bank National Association, as trustee</w:t>
              </w:r>
            </w:hyperlink>
          </w:p>
        </w:tc>
        <w:tc>
          <w:tcPr>
            <w:tcW w:w="3420" w:type="dxa"/>
            <w:vAlign w:val="bottom"/>
            <w:tcBorders>
              <w:top w:val="single" w:sz="8" w:color="0000FF"/>
              <w:bottom w:val="single" w:sz="8" w:color="CCEEFF"/>
            </w:tcBorders>
            <w:gridSpan w:val="2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4.8</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First Supplemental Indenture, dated as of March 23, 2021, by and among the Charles</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March 23, 2021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52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River Laboratories International, Inc., the Guarantors and U.S. Bank National</w:t>
              </w:r>
            </w:hyperlink>
          </w:p>
        </w:tc>
        <w:tc>
          <w:tcPr>
            <w:tcW w:w="8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5040" w:type="dxa"/>
            <w:vAlign w:val="bottom"/>
            <w:tcBorders>
              <w:top w:val="single" w:sz="8" w:color="0000FF"/>
            </w:tcBorders>
            <w:gridSpan w:val="17"/>
          </w:tcPr>
          <w:p>
            <w:pPr>
              <w:spacing w:after="0" w:line="15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Association, as trustee</w:t>
              </w:r>
            </w:hyperlink>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4.9</w:t>
            </w:r>
          </w:p>
        </w:tc>
        <w:tc>
          <w:tcPr>
            <w:tcW w:w="5060" w:type="dxa"/>
            <w:vAlign w:val="bottom"/>
            <w:tcBorders>
              <w:bottom w:val="single" w:sz="8" w:color="0000FF"/>
            </w:tcBorders>
            <w:gridSpan w:val="18"/>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Note for 3.750% Senior Notes due 2029 (included with Exhibit 4.12)</w:t>
              </w:r>
            </w:hyperlink>
          </w:p>
        </w:tc>
        <w:tc>
          <w:tcPr>
            <w:tcW w:w="840" w:type="dxa"/>
            <w:vAlign w:val="bottom"/>
            <w:tcBorders>
              <w:bottom w:val="single" w:sz="8" w:color="CCEEFF"/>
            </w:tcBorders>
            <w:gridSpan w:val="15"/>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March 23, 2021</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4.10</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Note for 4.000% Senior Notes due 2031 (included with Exhibit 4.12)</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March 23, 2021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4.11</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of Senior Debt Indenture between Charles River Laboratories International, Inc. and</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S-3</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4, 2021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203"/>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8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U.S. Bank National Association</w:t>
              </w:r>
            </w:hyperlink>
          </w:p>
        </w:tc>
        <w:tc>
          <w:tcPr>
            <w:tcW w:w="3800" w:type="dxa"/>
            <w:vAlign w:val="bottom"/>
            <w:tcBorders>
              <w:top w:val="single" w:sz="8" w:color="0000FF"/>
              <w:bottom w:val="single" w:sz="8" w:color="CCEEFF"/>
            </w:tcBorders>
            <w:gridSpan w:val="26"/>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4.12</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Form of Subordinated Debt Indenture between Charles River Laboratories International,</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S-3</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4, 2021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74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Inc. and U.S. Bank National Association</w:t>
              </w:r>
            </w:hyperlink>
          </w:p>
        </w:tc>
        <w:tc>
          <w:tcPr>
            <w:tcW w:w="16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4300" w:type="dxa"/>
            <w:vAlign w:val="bottom"/>
            <w:tcBorders>
              <w:bottom w:val="single" w:sz="8" w:color="0000FF"/>
            </w:tcBorders>
            <w:gridSpan w:val="15"/>
            <w:shd w:val="clear" w:color="auto" w:fill="CCEEFF"/>
          </w:tcPr>
          <w:p>
            <w:pPr>
              <w:spacing w:after="0" w:line="17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Charles River Laboratories International, Inc. 2016 Incentive Plan</w:t>
              </w:r>
            </w:hyperlink>
          </w:p>
        </w:tc>
        <w:tc>
          <w:tcPr>
            <w:tcW w:w="1600" w:type="dxa"/>
            <w:vAlign w:val="bottom"/>
            <w:tcBorders>
              <w:bottom w:val="single" w:sz="8" w:color="CCEEFF"/>
            </w:tcBorders>
            <w:gridSpan w:val="18"/>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6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3, 2016</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Charles River Laboratories International, Inc. Amended and Restated 2018 Incentive</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14, 2024</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50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Plan, dated March 20, 2018, as amended November 21, 2023</w:t>
              </w:r>
            </w:hyperlink>
          </w:p>
        </w:tc>
        <w:tc>
          <w:tcPr>
            <w:tcW w:w="100" w:type="dxa"/>
            <w:vAlign w:val="bottom"/>
            <w:gridSpan w:val="2"/>
          </w:tcPr>
          <w:p>
            <w:pPr>
              <w:spacing w:after="0"/>
              <w:rPr>
                <w:sz w:val="12"/>
                <w:szCs w:val="12"/>
                <w:color w:val="auto"/>
              </w:rPr>
            </w:pPr>
          </w:p>
        </w:tc>
        <w:tc>
          <w:tcPr>
            <w:tcW w:w="300" w:type="dxa"/>
            <w:vAlign w:val="bottom"/>
            <w:gridSpan w:val="9"/>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Charles River Laboratories International, Inc. Form of Stock Option granted under the</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14, 2017</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0" w:type="dxa"/>
            <w:vAlign w:val="bottom"/>
          </w:tcPr>
          <w:p>
            <w:pPr>
              <w:spacing w:after="0"/>
              <w:rPr>
                <w:sz w:val="1"/>
                <w:szCs w:val="1"/>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560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2016 Incentive Plan</w:t>
              </w:r>
            </w:hyperlink>
          </w:p>
        </w:tc>
        <w:tc>
          <w:tcPr>
            <w:tcW w:w="300" w:type="dxa"/>
            <w:vAlign w:val="bottom"/>
            <w:tcBorders>
              <w:top w:val="single" w:sz="8" w:color="CCEEFF"/>
            </w:tcBorders>
            <w:gridSpan w:val="9"/>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Charles River Laboratories International, Inc. Form of Restricted Stock Unit granted</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14, 2017</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48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under the 2016 Incentive Plan</w:t>
              </w:r>
            </w:hyperlink>
          </w:p>
        </w:tc>
        <w:tc>
          <w:tcPr>
            <w:tcW w:w="420" w:type="dxa"/>
            <w:vAlign w:val="bottom"/>
            <w:gridSpan w:val="12"/>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590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Charles River Laboratories International, Inc. Form of Non-Qualified Stock Option</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5, 2020</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2520" w:type="dxa"/>
            <w:vAlign w:val="bottom"/>
            <w:tcBorders>
              <w:top w:val="single" w:sz="8" w:color="0000FF"/>
              <w:bottom w:val="single" w:sz="8" w:color="0000FF"/>
              <w:right w:val="single" w:sz="8" w:color="CCEE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granted under the 2018 Incentive Plan</w:t>
              </w:r>
            </w:hyperlink>
          </w:p>
        </w:tc>
        <w:tc>
          <w:tcPr>
            <w:tcW w:w="288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500" w:type="dxa"/>
            <w:vAlign w:val="bottom"/>
            <w:tcBorders>
              <w:top w:val="single" w:sz="8" w:color="CCEEFF"/>
              <w:bottom w:val="single" w:sz="8" w:color="CCEEFF"/>
            </w:tcBorders>
            <w:gridSpan w:val="13"/>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Charles River Laboratories International, Inc. Form of Restricted Stock Unit granted</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14, 2024</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48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under the 2018 Incentive Plan</w:t>
              </w:r>
            </w:hyperlink>
          </w:p>
        </w:tc>
        <w:tc>
          <w:tcPr>
            <w:tcW w:w="420" w:type="dxa"/>
            <w:vAlign w:val="bottom"/>
            <w:gridSpan w:val="12"/>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4360" w:type="dxa"/>
            <w:vAlign w:val="bottom"/>
            <w:tcBorders>
              <w:bottom w:val="single" w:sz="8" w:color="0000FF"/>
            </w:tcBorders>
            <w:gridSpan w:val="16"/>
            <w:shd w:val="clear" w:color="auto" w:fill="CCEEFF"/>
          </w:tcPr>
          <w:p>
            <w:pPr>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Charles River Executive Separation Plan dated December 05, 2024</w:t>
              </w:r>
            </w:hyperlink>
          </w:p>
        </w:tc>
        <w:tc>
          <w:tcPr>
            <w:tcW w:w="1540" w:type="dxa"/>
            <w:vAlign w:val="bottom"/>
            <w:tcBorders>
              <w:bottom w:val="single" w:sz="8" w:color="CCEEFF"/>
            </w:tcBorders>
            <w:gridSpan w:val="17"/>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19, 2025</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5900" w:type="dxa"/>
            <w:vAlign w:val="bottom"/>
            <w:gridSpan w:val="33"/>
          </w:tcPr>
          <w:p>
            <w:pPr>
              <w:spacing w:after="0" w:line="17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Form of Change in Control Agreement</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23, 2009</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gridSpan w:val="26"/>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660" w:type="dxa"/>
            <w:vAlign w:val="bottom"/>
          </w:tcPr>
          <w:p>
            <w:pPr>
              <w:spacing w:after="0"/>
              <w:rPr>
                <w:sz w:val="16"/>
                <w:szCs w:val="16"/>
                <w:color w:val="auto"/>
              </w:rPr>
            </w:pP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40" w:type="dxa"/>
            <w:vAlign w:val="bottom"/>
            <w:gridSpan w:val="26"/>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7"/>
        </w:trPr>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590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Charles River Laboratories International, Inc. Non-Employee Directors Deferral Plan</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4, 2016</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554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dated April 5, 2016</w:t>
              </w:r>
            </w:hyperlink>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5900" w:type="dxa"/>
            <w:vAlign w:val="bottom"/>
            <w:gridSpan w:val="31"/>
          </w:tcPr>
          <w:p>
            <w:pPr>
              <w:spacing w:after="0" w:line="175"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Charles River Laboratories, Inc. Executive Life Insurance/Supplemental Retirement</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March 9, 2005</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4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Income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590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Amended and Restated Employment Agreement by and between James C. Foster and</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18, 2021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3480" w:type="dxa"/>
            <w:vAlign w:val="bottom"/>
            <w:tcBorders>
              <w:top w:val="single" w:sz="8" w:color="0000FF"/>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Charles River International, Inc., dated May 18, 2021</w:t>
              </w:r>
            </w:hyperlink>
          </w:p>
        </w:tc>
        <w:tc>
          <w:tcPr>
            <w:tcW w:w="20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5900" w:type="dxa"/>
            <w:vAlign w:val="bottom"/>
            <w:gridSpan w:val="31"/>
          </w:tcPr>
          <w:p>
            <w:pPr>
              <w:spacing w:after="0" w:line="175"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Amendment to the Amended and Restated Employment Agreement by and between</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August 6, 2025</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4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James C. Foster and Charles River International, Inc., dated May 20, 2025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5900" w:type="dxa"/>
            <w:vAlign w:val="bottom"/>
            <w:gridSpan w:val="3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Amendment No. 2 to the Amended and Restated Employment Agreement by and between</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5880" w:type="dxa"/>
            <w:vAlign w:val="bottom"/>
            <w:tcBorders>
              <w:top w:val="single" w:sz="8" w:color="0000FF"/>
            </w:tcBorders>
            <w:gridSpan w:val="3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James C. Foster and Charles River International, Inc., dated January 6, 2026</w:t>
            </w:r>
          </w:p>
        </w:tc>
        <w:tc>
          <w:tcPr>
            <w:tcW w:w="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4940" w:type="dxa"/>
            <w:vAlign w:val="bottom"/>
            <w:tcBorders>
              <w:top w:val="single" w:sz="8" w:color="0000FF"/>
            </w:tcBorders>
            <w:gridSpan w:val="16"/>
          </w:tcPr>
          <w:p>
            <w:pPr>
              <w:spacing w:after="0" w:line="175"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Executive Incentive Compensation Program effective January 1, 2021</w:t>
              </w:r>
            </w:hyperlink>
          </w:p>
        </w:tc>
        <w:tc>
          <w:tcPr>
            <w:tcW w:w="960" w:type="dxa"/>
            <w:vAlign w:val="bottom"/>
            <w:tcBorders>
              <w:top w:val="single" w:sz="8" w:color="CCEEFF"/>
            </w:tcBorders>
            <w:gridSpan w:val="15"/>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10-Q</w:t>
            </w:r>
          </w:p>
        </w:tc>
        <w:tc>
          <w:tcPr>
            <w:tcW w:w="164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4, 2021</w:t>
            </w:r>
          </w:p>
        </w:tc>
        <w:tc>
          <w:tcPr>
            <w:tcW w:w="106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590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Charles River Laboratories amended and restated Deferred Compensation Plan, as</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19, 2025</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0" w:type="dxa"/>
            <w:vAlign w:val="bottom"/>
          </w:tcPr>
          <w:p>
            <w:pPr>
              <w:spacing w:after="0"/>
              <w:rPr>
                <w:sz w:val="1"/>
                <w:szCs w:val="1"/>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534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amended</w:t>
              </w:r>
            </w:hyperlink>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5740" w:type="dxa"/>
            <w:vAlign w:val="bottom"/>
            <w:tcBorders>
              <w:bottom w:val="single" w:sz="8" w:color="0000FF"/>
            </w:tcBorders>
            <w:gridSpan w:val="26"/>
          </w:tcPr>
          <w:p>
            <w:pPr>
              <w:spacing w:after="0" w:line="175"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Tenth Amended and Restated Credit Agreement, dated as of December 13, 2024, among</w:t>
              </w:r>
            </w:hyperlink>
          </w:p>
        </w:tc>
        <w:tc>
          <w:tcPr>
            <w:tcW w:w="160" w:type="dxa"/>
            <w:vAlign w:val="bottom"/>
            <w:gridSpan w:val="5"/>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December 13, 2024</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900" w:type="dxa"/>
            <w:vAlign w:val="bottom"/>
            <w:gridSpan w:val="31"/>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Charles River Laboratories International, Inc., the Subsidiary Borrowers party thereto, the</w:t>
              </w:r>
            </w:hyperlink>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84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lenders party thereto, JPMorgan Chase Bank, N.A., as administrative agent, and the other</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8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agents party thereto</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590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Charles River Laboratories International, Inc. Restricted Stock Unit Award, dated</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December 27, 2021</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330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December 25, 2021 granted to Joseph W. LaPlume</w:t>
              </w:r>
            </w:hyperlink>
          </w:p>
        </w:tc>
        <w:tc>
          <w:tcPr>
            <w:tcW w:w="1980" w:type="dxa"/>
            <w:vAlign w:val="bottom"/>
            <w:tcBorders>
              <w:top w:val="single" w:sz="8" w:color="0000FF"/>
              <w:bottom w:val="single" w:sz="8" w:color="CCEEFF"/>
            </w:tcBorders>
            <w:gridSpan w:val="9"/>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5900" w:type="dxa"/>
            <w:vAlign w:val="bottom"/>
            <w:gridSpan w:val="31"/>
          </w:tcPr>
          <w:p>
            <w:pPr>
              <w:spacing w:after="0" w:line="175"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Charles River Laboratories International, Inc. Performance Share Unit Award, dated</w:t>
              </w:r>
            </w:hyperlink>
          </w:p>
        </w:tc>
        <w:tc>
          <w:tcPr>
            <w:tcW w:w="96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December 27, 2021</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48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December 25, 2021 granted to Joseph W. LaPlume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590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Cooperation Agreement, by and among the Company and Elliott Investment Management</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May 7, 2025</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5380" w:type="dxa"/>
            <w:vAlign w:val="bottom"/>
            <w:tcBorders>
              <w:top w:val="single" w:sz="8" w:color="0000FF"/>
              <w:bottom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w w:val="99"/>
              </w:rPr>
            </w:pPr>
            <w:hyperlink r:id="rId194">
              <w:r>
                <w:rPr>
                  <w:rFonts w:ascii="Times New Roman" w:cs="Times New Roman" w:eastAsia="Times New Roman" w:hAnsi="Times New Roman"/>
                  <w:sz w:val="16"/>
                  <w:szCs w:val="16"/>
                  <w:color w:val="0000FF"/>
                  <w:w w:val="99"/>
                </w:rPr>
                <w:t>L.P., Elliott Associates, L.P. and Elliott International, L.P., dated as of May 6, 2025</w:t>
              </w:r>
            </w:hyperlink>
          </w:p>
        </w:tc>
        <w:tc>
          <w:tcPr>
            <w:tcW w:w="48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590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Letter Agreement by and between Charles River Laboratories International, Inc. and</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50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Birgit Girshick, dated as of January 6, 2026</w:t>
            </w:r>
          </w:p>
        </w:tc>
        <w:tc>
          <w:tcPr>
            <w:tcW w:w="40" w:type="dxa"/>
            <w:vAlign w:val="bottom"/>
          </w:tcPr>
          <w:p>
            <w:pPr>
              <w:spacing w:after="0"/>
              <w:rPr>
                <w:sz w:val="12"/>
                <w:szCs w:val="12"/>
                <w:color w:val="auto"/>
              </w:rPr>
            </w:pPr>
          </w:p>
        </w:tc>
        <w:tc>
          <w:tcPr>
            <w:tcW w:w="360" w:type="dxa"/>
            <w:vAlign w:val="bottom"/>
            <w:gridSpan w:val="7"/>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w:t>
            </w:r>
          </w:p>
        </w:tc>
        <w:tc>
          <w:tcPr>
            <w:tcW w:w="1460" w:type="dxa"/>
            <w:vAlign w:val="bottom"/>
            <w:tcBorders>
              <w:bottom w:val="single" w:sz="8" w:color="0000FF"/>
            </w:tcBorders>
            <w:gridSpan w:val="5"/>
            <w:shd w:val="clear" w:color="auto" w:fill="CCEEFF"/>
          </w:tcPr>
          <w:p>
            <w:pPr>
              <w:spacing w:after="0" w:line="175" w:lineRule="exact"/>
              <w:rPr>
                <w:rFonts w:ascii="Times New Roman" w:cs="Times New Roman" w:eastAsia="Times New Roman" w:hAnsi="Times New Roman"/>
                <w:sz w:val="16"/>
                <w:szCs w:val="16"/>
                <w:color w:val="0000FF"/>
                <w:w w:val="99"/>
              </w:rPr>
            </w:pPr>
            <w:hyperlink r:id="rId195">
              <w:r>
                <w:rPr>
                  <w:rFonts w:ascii="Times New Roman" w:cs="Times New Roman" w:eastAsia="Times New Roman" w:hAnsi="Times New Roman"/>
                  <w:sz w:val="16"/>
                  <w:szCs w:val="16"/>
                  <w:color w:val="0000FF"/>
                  <w:w w:val="99"/>
                </w:rPr>
                <w:t>Insider Trading Policy</w:t>
              </w:r>
            </w:hyperlink>
          </w:p>
        </w:tc>
        <w:tc>
          <w:tcPr>
            <w:tcW w:w="4440" w:type="dxa"/>
            <w:vAlign w:val="bottom"/>
            <w:tcBorders>
              <w:bottom w:val="single" w:sz="8" w:color="CCEEFF"/>
            </w:tcBorders>
            <w:gridSpan w:val="26"/>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14, 2024</w:t>
            </w:r>
          </w:p>
        </w:tc>
        <w:tc>
          <w:tcPr>
            <w:tcW w:w="10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21.1</w:t>
            </w:r>
          </w:p>
        </w:tc>
        <w:tc>
          <w:tcPr>
            <w:tcW w:w="590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Subsidiaries of Charles River Laboratories International, Inc.</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23.1</w:t>
            </w:r>
          </w:p>
        </w:tc>
        <w:tc>
          <w:tcPr>
            <w:tcW w:w="2700" w:type="dxa"/>
            <w:vAlign w:val="bottom"/>
            <w:tcBorders>
              <w:bottom w:val="single" w:sz="8" w:color="0000FF"/>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PricewaterhouseCoopers LLP</w:t>
            </w:r>
          </w:p>
        </w:tc>
        <w:tc>
          <w:tcPr>
            <w:tcW w:w="3200" w:type="dxa"/>
            <w:vAlign w:val="bottom"/>
            <w:tcBorders>
              <w:bottom w:val="single" w:sz="8" w:color="CCEEFF"/>
            </w:tcBorders>
            <w:gridSpan w:val="25"/>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590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Executive Officer</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5900" w:type="dxa"/>
            <w:vAlign w:val="bottom"/>
            <w:gridSpan w:val="3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Financial Officer</w:t>
            </w:r>
          </w:p>
        </w:tc>
        <w:tc>
          <w:tcPr>
            <w:tcW w:w="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590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Section 1350 Certification of the Chief Executive Officer and Chief Financial Officer</w:t>
            </w: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97</w:t>
            </w:r>
          </w:p>
        </w:tc>
        <w:tc>
          <w:tcPr>
            <w:tcW w:w="590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Financial Statement Compensation Recoupment Policy</w:t>
              </w:r>
            </w:hyperlink>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10-K</w:t>
            </w:r>
          </w:p>
        </w:tc>
        <w:tc>
          <w:tcPr>
            <w:tcW w:w="16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February 14, 2024</w:t>
            </w:r>
          </w:p>
        </w:tc>
        <w:tc>
          <w:tcPr>
            <w:tcW w:w="1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5900" w:type="dxa"/>
            <w:vAlign w:val="bottom"/>
            <w:gridSpan w:val="31"/>
          </w:tcPr>
          <w:p>
            <w:pPr>
              <w:spacing w:after="0" w:line="162" w:lineRule="exact"/>
              <w:rPr>
                <w:sz w:val="20"/>
                <w:szCs w:val="20"/>
                <w:color w:val="auto"/>
              </w:rPr>
            </w:pPr>
            <w:r>
              <w:rPr>
                <w:rFonts w:ascii="Times New Roman" w:cs="Times New Roman" w:eastAsia="Times New Roman" w:hAnsi="Times New Roman"/>
                <w:sz w:val="16"/>
                <w:szCs w:val="16"/>
                <w:color w:val="auto"/>
              </w:rPr>
              <w:t>eXtensible Business Reporting Language (XBRL) Instance Document - the instance</w:t>
            </w: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5900" w:type="dxa"/>
            <w:vAlign w:val="bottom"/>
            <w:gridSpan w:val="31"/>
          </w:tcPr>
          <w:p>
            <w:pPr>
              <w:spacing w:after="0" w:line="162" w:lineRule="exact"/>
              <w:rPr>
                <w:sz w:val="20"/>
                <w:szCs w:val="20"/>
                <w:color w:val="auto"/>
              </w:rPr>
            </w:pPr>
            <w:r>
              <w:rPr>
                <w:rFonts w:ascii="Times New Roman" w:cs="Times New Roman" w:eastAsia="Times New Roman" w:hAnsi="Times New Roman"/>
                <w:sz w:val="16"/>
                <w:szCs w:val="16"/>
                <w:color w:val="auto"/>
              </w:rPr>
              <w:t>document does not appear in the Interactive Data File because its XBRL tags are</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90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590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590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90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right="5020" w:firstLine="366"/>
        <w:spacing w:after="0" w:line="281" w:lineRule="auto"/>
        <w:tabs>
          <w:tab w:leader="none" w:pos="101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Management contract or compensatory plan, contract or arrangement.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Certain information in this exhibit was omitted by means of redacting a portion of the text and replacing it with [***]</w:t>
      </w:r>
    </w:p>
    <w:p>
      <w:pPr>
        <w:spacing w:after="0" w:line="2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20" w:name="page121"/>
    <w:bookmarkEnd w:id="120"/>
    <w:p>
      <w:pPr>
        <w:spacing w:after="0" w:line="185" w:lineRule="auto"/>
        <w:framePr w:w="1340" w:h="160" w:wrap="auto" w:vAnchor="page" w:hAnchor="page" w:x="4520" w:y="147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 Knell</w:t>
      </w:r>
    </w:p>
    <w:p>
      <w:pPr>
        <w:spacing w:after="0" w:line="194" w:lineRule="auto"/>
        <w:framePr w:w="6660" w:h="336" w:wrap="auto" w:vAnchor="page" w:hAnchor="page" w:x="4520" w:y="1924"/>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Interim Chief Financial Officer, Corporate Senior Vice President, Chief Accounting Officer (duly authorized officer and Principal Financial and Accounting Officer)</w:t>
      </w:r>
    </w:p>
    <w:p>
      <w:pPr>
        <w:spacing w:after="0" w:line="218" w:lineRule="auto"/>
        <w:framePr w:w="11260" w:h="376" w:wrap="auto" w:vAnchor="page" w:hAnchor="page" w:x="280" w:y="2531"/>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Pursuant to the requirements of the Securities Exchange Act of 1934, this report has been signed by the following persons on behalf of the registrant and in the capacities indicated below and on the dates indicated.</w:t>
      </w:r>
    </w:p>
    <w:p>
      <w:pPr>
        <w:spacing w:after="0" w:line="196" w:lineRule="auto"/>
        <w:framePr w:w="1960" w:h="160" w:wrap="auto" w:vAnchor="page" w:hAnchor="page" w:x="4520" w:y="1208"/>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 MICHAEL G. KNELL</w:t>
      </w:r>
    </w:p>
    <w:p>
      <w:pPr>
        <w:spacing w:after="0" w:line="185" w:lineRule="auto"/>
        <w:framePr w:w="1420" w:h="160" w:wrap="auto" w:vAnchor="page" w:hAnchor="page" w:x="300" w:y="1208"/>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February 18, 2026</w:t>
      </w:r>
    </w:p>
    <w:p>
      <w:pPr>
        <w:spacing w:after="0" w:line="226" w:lineRule="auto"/>
        <w:framePr w:w="4800" w:h="390" w:wrap="auto" w:vAnchor="page" w:hAnchor="page" w:x="3960" w:y="938"/>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CHARLES RIVER LABORATORIES INTERNATIONAL, INC. By:</w:t>
      </w:r>
    </w:p>
    <w:p>
      <w:pPr>
        <w:spacing w:after="0" w:line="196" w:lineRule="auto"/>
        <w:framePr w:w="1240" w:h="160" w:wrap="auto" w:vAnchor="page" w:hAnchor="page" w:x="5320" w:y="142"/>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SIGNATURES</w:t>
      </w:r>
    </w:p>
    <w:p>
      <w:pPr>
        <w:spacing w:after="0" w:line="218" w:lineRule="auto"/>
        <w:framePr w:w="11020" w:h="376" w:wrap="auto" w:vAnchor="page" w:hAnchor="page" w:x="280" w:y="466"/>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2882900</wp:posOffset>
            </wp:positionH>
            <wp:positionV relativeFrom="page">
              <wp:posOffset>902970</wp:posOffset>
            </wp:positionV>
            <wp:extent cx="43205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90" w:lineRule="exact"/>
        <w:rPr>
          <w:rFonts w:ascii="Times New Roman" w:cs="Times New Roman" w:eastAsia="Times New Roman" w:hAnsi="Times New Roman"/>
          <w:sz w:val="18"/>
          <w:szCs w:val="18"/>
          <w:b w:val="1"/>
          <w:bCs w:val="1"/>
          <w:i w:val="1"/>
          <w:iCs w:val="1"/>
          <w:color w:val="auto"/>
        </w:rPr>
      </w:pPr>
    </w:p>
    <w:p>
      <w:pPr>
        <w:spacing w:after="0" w:line="94" w:lineRule="exact"/>
        <w:rPr>
          <w:rFonts w:ascii="Times New Roman" w:cs="Times New Roman" w:eastAsia="Times New Roman" w:hAnsi="Times New Roman"/>
          <w:sz w:val="18"/>
          <w:szCs w:val="18"/>
          <w:b w:val="1"/>
          <w:bCs w:val="1"/>
          <w:i w:val="1"/>
          <w:iCs w:val="1"/>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35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Signatures</w:t>
            </w:r>
          </w:p>
        </w:tc>
        <w:tc>
          <w:tcPr>
            <w:tcW w:w="498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Title</w:t>
            </w:r>
          </w:p>
        </w:tc>
        <w:tc>
          <w:tcPr>
            <w:tcW w:w="15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263"/>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JAMES C. FOSTER</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C. Foster</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MICHAEL G. KNELL</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Interim Chief Financial Officer, and</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G. Knell</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Senior Vice President, Chief Accounting Officer (duly</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authorized officer and Principal Financial and Accounting</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NANCY C. ANDREWS</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Nancy C. Andrews</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STEVEN BARG</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Barg</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ABRAHAM CEESAY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Abraham Ceesay</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MARK ENYEDY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Enyedy</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PAUL GRAVES</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Paul Graves</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RESHEMA KEMPS-POLANCO</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Reshema Kemps-Polanco</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GEORGE LLADO</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George Llado</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MARTIN MACKAY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Martin Mackay</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CRAIG B. THOMPSON</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3"/>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Craig B. Thompson</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VIRGINIA M. WILSON</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February 18, 2026</w:t>
            </w:r>
          </w:p>
        </w:tc>
        <w:tc>
          <w:tcPr>
            <w:tcW w:w="0" w:type="dxa"/>
            <w:vAlign w:val="bottom"/>
          </w:tcPr>
          <w:p>
            <w:pPr>
              <w:spacing w:after="0"/>
              <w:rPr>
                <w:sz w:val="1"/>
                <w:szCs w:val="1"/>
                <w:color w:val="auto"/>
              </w:rPr>
            </w:pPr>
          </w:p>
        </w:tc>
      </w:tr>
      <w:tr>
        <w:trPr>
          <w:trHeight w:val="134"/>
        </w:trPr>
        <w:tc>
          <w:tcPr>
            <w:tcW w:w="640" w:type="dxa"/>
            <w:vAlign w:val="bottom"/>
            <w:vMerge w:val="continue"/>
          </w:tcPr>
          <w:p>
            <w:pPr>
              <w:spacing w:after="0"/>
              <w:rPr>
                <w:sz w:val="11"/>
                <w:szCs w:val="11"/>
                <w:color w:val="auto"/>
              </w:rPr>
            </w:pPr>
          </w:p>
        </w:tc>
        <w:tc>
          <w:tcPr>
            <w:tcW w:w="3560" w:type="dxa"/>
            <w:vAlign w:val="bottom"/>
            <w:tcBorders>
              <w:bottom w:val="single" w:sz="8" w:color="auto"/>
            </w:tcBorders>
            <w:vMerge w:val="continue"/>
          </w:tcPr>
          <w:p>
            <w:pPr>
              <w:spacing w:after="0"/>
              <w:rPr>
                <w:sz w:val="11"/>
                <w:szCs w:val="11"/>
                <w:color w:val="auto"/>
              </w:rPr>
            </w:pPr>
          </w:p>
        </w:tc>
        <w:tc>
          <w:tcPr>
            <w:tcW w:w="49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 M. Wilson</w:t>
            </w:r>
          </w:p>
        </w:tc>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40" w:top="1440" w:right="87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AMENDMENT NO.2 TO</w:t>
      </w:r>
    </w:p>
    <w:p>
      <w:pPr>
        <w:spacing w:after="0" w:line="1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AMENDMENT NO.2 (this “Amendment”) to the Amended and Restated Employment Agreement by and between James C. Foster (the “Executive”) and Charles River Laboratories International, Inc., a Delaware corporation (the “Company” and, hereinafter collectively referred to as “parties”), dated as of May 18, 2021, as amended by Amendment No. 1 to the Employment Agreement, dated May 20, 2025 (collectively, the “Employment Agreement”), is entered into by and between the Company and Executive as of January 6, 2026. Capitalized terms used but not defined herein shall have the respective meanings given to them in the Employment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currently serves as the Chairman, President and Chief Executive Officer of the Company pursuant to the terms of the Employment Agreement; and</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as part of the Company’s leadership transition plan, the Executive and the Company have agreed that the Executive will retire his employment and resign from the roles of Chief Executive Officer and President effective as of May 5, 2026.</w:t>
      </w:r>
    </w:p>
    <w:p>
      <w:pPr>
        <w:spacing w:after="0" w:line="213"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hereinafter contained, and for other good and valuable consideration, the receipt and sufficiency of which is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THE EMPLOYMENT AGREEMENT.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 of the Employment Agreement is hereby deleted in its entirety and replaced with the following:</w:t>
      </w:r>
    </w:p>
    <w:p>
      <w:pPr>
        <w:spacing w:after="0" w:line="24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employment term (the “Employment Term”) of Executive’s employment under this Agreement shall be for the period commencing on May 18, 2021 (the “Effective Date”) and ending on May 5, 2026 (the “Retirement Date”), subject to earlier termination pursuant to Section 7 hereof. It is expected that Executive will continue to perform all of the Executive’s duties and responsibilities for the Company from the Effective Date through the Retirement Date. The termination of Executive’s employment on the Retirement Date shall be considered an Expiration of the Term Upon Non-Renewal under Section 7(e) hereof and any required notice period shall be deemed satisfied or waived.</w:t>
      </w:r>
    </w:p>
    <w:p>
      <w:pPr>
        <w:spacing w:after="0" w:line="2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RATIFICATION AS AMENDED </w:t>
      </w:r>
      <w:r>
        <w:rPr>
          <w:rFonts w:ascii="Times New Roman" w:cs="Times New Roman" w:eastAsia="Times New Roman" w:hAnsi="Times New Roman"/>
          <w:sz w:val="22"/>
          <w:szCs w:val="22"/>
          <w:color w:val="auto"/>
        </w:rPr>
        <w:t>. Except as amended by this Amendment, the terms and conditions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confirmed, approved and ratified, and the Employment Agreement, as amended by this Amendment, shall continue in full force and effect. Any reference to the Agreement in the Employment Agreement shall mean the Employment Agreement as amended by this Amendment.</w:t>
      </w:r>
    </w:p>
    <w:p>
      <w:pPr>
        <w:sectPr>
          <w:pgSz w:w="11900" w:h="16838" w:orient="portrait"/>
          <w:cols w:equalWidth="0" w:num="1">
            <w:col w:w="11240"/>
          </w:cols>
          <w:pgMar w:left="320" w:top="765" w:right="339" w:bottom="1440" w:gutter="0" w:footer="0" w:header="0"/>
        </w:sectPr>
      </w:pPr>
    </w:p>
    <w:bookmarkStart w:id="122" w:name="page123"/>
    <w:bookmarkEnd w:id="122"/>
    <w:p>
      <w:pPr>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Amendment may be executed simultaneously in two or more counterparts (including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and PDF), each of which shall in such event be deemed an original, but all of which together shall constitute one and the same instrument.</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BLANK]</w:t>
      </w:r>
    </w:p>
    <w:p>
      <w:pPr>
        <w:sectPr>
          <w:pgSz w:w="11900" w:h="16838" w:orient="portrait"/>
          <w:cols w:equalWidth="0" w:num="1">
            <w:col w:w="11120"/>
          </w:cols>
          <w:pgMar w:left="320" w:top="1256" w:right="459" w:bottom="1440" w:gutter="0" w:footer="0" w:header="0"/>
        </w:sectPr>
      </w:pPr>
    </w:p>
    <w:bookmarkStart w:id="123" w:name="page124"/>
    <w:bookmarkEnd w:id="12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the Employment Agreement to be executed as of the day and year first above written.</w:t>
      </w: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CHARLES RIVER LABORATORIES INTERNATIONAL, INC.</w:t>
      </w: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L. Daniel</w:t>
      </w:r>
    </w:p>
    <w:p>
      <w:pPr>
        <w:spacing w:after="0" w:line="28" w:lineRule="exact"/>
        <w:rPr>
          <w:sz w:val="20"/>
          <w:szCs w:val="20"/>
          <w:color w:val="auto"/>
        </w:rPr>
      </w:pPr>
    </w:p>
    <w:p>
      <w:pPr>
        <w:ind w:left="4540"/>
        <w:spacing w:after="0"/>
        <w:tabs>
          <w:tab w:leader="none" w:pos="5360" w:val="left"/>
        </w:tabs>
        <w:rPr>
          <w:sz w:val="20"/>
          <w:szCs w:val="20"/>
          <w:color w:val="auto"/>
        </w:rPr>
      </w:pPr>
      <w:r>
        <w:rPr>
          <w:rFonts w:ascii="Times New Roman" w:cs="Times New Roman" w:eastAsia="Times New Roman" w:hAnsi="Times New Roman"/>
          <w:sz w:val="22"/>
          <w:szCs w:val="22"/>
          <w:color w:val="auto"/>
        </w:rPr>
        <w:t>Name:</w:t>
        <w:tab/>
        <w:t>Matthew L. Daniel</w:t>
      </w:r>
    </w:p>
    <w:p>
      <w:pPr>
        <w:spacing w:after="0" w:line="4" w:lineRule="exact"/>
        <w:rPr>
          <w:sz w:val="20"/>
          <w:szCs w:val="20"/>
          <w:color w:val="auto"/>
        </w:rPr>
      </w:pPr>
    </w:p>
    <w:p>
      <w:pPr>
        <w:ind w:left="4540"/>
        <w:spacing w:after="0"/>
        <w:tabs>
          <w:tab w:leader="none" w:pos="5300" w:val="left"/>
        </w:tabs>
        <w:rPr>
          <w:sz w:val="20"/>
          <w:szCs w:val="20"/>
          <w:color w:val="auto"/>
        </w:rPr>
      </w:pPr>
      <w:r>
        <w:rPr>
          <w:rFonts w:ascii="Times New Roman" w:cs="Times New Roman" w:eastAsia="Times New Roman" w:hAnsi="Times New Roman"/>
          <w:sz w:val="22"/>
          <w:szCs w:val="22"/>
          <w:color w:val="auto"/>
        </w:rPr>
        <w:t>Title:</w:t>
        <w:tab/>
        <w:t>Corporate Senior Vice President,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General Counsel, Corporate Secretary &amp; Chief Compliance Officer</w:t>
      </w:r>
    </w:p>
    <w:p>
      <w:pPr>
        <w:spacing w:after="0" w:line="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i w:val="1"/>
          <w:iCs w:val="1"/>
          <w:color w:val="auto"/>
        </w:rPr>
        <w:t>DULY AUTHORIZED BY AN AFFIRMATIVE VOTE OF A</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i w:val="1"/>
          <w:iCs w:val="1"/>
          <w:color w:val="auto"/>
        </w:rPr>
        <w:t>MAJORITY OF THE INDEPENDENT MEMBERS OF THE</w:t>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i w:val="1"/>
          <w:iCs w:val="1"/>
          <w:color w:val="auto"/>
        </w:rPr>
        <w:t>BOARD OF DIRECTORS</w:t>
      </w: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C. Foster</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James C. Foster</w:t>
      </w:r>
    </w:p>
    <w:p>
      <w:pPr>
        <w:sectPr>
          <w:pgSz w:w="11900" w:h="16838" w:orient="portrait"/>
          <w:cols w:equalWidth="0" w:num="1">
            <w:col w:w="11160"/>
          </w:cols>
          <w:pgMar w:left="320" w:top="1260" w:right="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Charles River Laboratories International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251 Ballardvale Street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Wilmington, Massachusetts 01887</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6,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Birgit Girshick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Charles River Laboratories International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 Ballardvale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Wilmington, Massachusetts 01887</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Appointment to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Birgit:</w:t>
      </w:r>
    </w:p>
    <w:p>
      <w:pPr>
        <w:spacing w:after="0" w:line="24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We are very grateful for your long and distinguished tenure with Charles River Laboratories International, Inc. (the “Company”), including in your current role as the Company’s Chief Operating Officer. The purpose of this letter is to inform you of your appointment to the role of the Company’s Chief Executive Officer, and to outline certain aspects of your compensation in the role of Chief Executive Officer.</w:t>
      </w:r>
    </w:p>
    <w:p>
      <w:pPr>
        <w:spacing w:after="0" w:line="216" w:lineRule="exact"/>
        <w:rPr>
          <w:sz w:val="20"/>
          <w:szCs w:val="20"/>
          <w:color w:val="auto"/>
        </w:rPr>
      </w:pPr>
    </w:p>
    <w:p>
      <w:pPr>
        <w:ind w:right="20" w:firstLine="656"/>
        <w:spacing w:after="0" w:line="250"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Employment; Position</w:t>
      </w:r>
      <w:r>
        <w:rPr>
          <w:rFonts w:ascii="Times New Roman" w:cs="Times New Roman" w:eastAsia="Times New Roman" w:hAnsi="Times New Roman"/>
          <w:sz w:val="22"/>
          <w:szCs w:val="22"/>
          <w:color w:val="auto"/>
        </w:rPr>
        <w:t>. It is expected that your service in the role of Company’s Chief Executive Officer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commence May 5, 2026 (the “Effective Date”). In your position as Chief Executive Officer, you will report to the Company’s Board of Directors (the “Board”) and will be the principal officer supervising all of the activities and operations of the Company and all of its subsidiaries. Between the date of this letter and the Effective Date, you will continue to serve as our Chief Operating Officer. In connection with your change in role, you acknowledge and agree that the Company may require you to enter into a nondisclosure and restrictive covenant agreement that includes, among other things, post-employment covenants regarding noncompetition and non-solicitation of customers, suppliers, business relationships and employees.</w:t>
      </w:r>
    </w:p>
    <w:p>
      <w:pPr>
        <w:spacing w:after="0" w:line="20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and Benefits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Effective as of February 1, 2026, the Company will initially pay you a base salary of</w:t>
      </w:r>
    </w:p>
    <w:p>
      <w:pPr>
        <w:spacing w:after="0" w:line="3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2"/>
          <w:szCs w:val="22"/>
          <w:color w:val="auto"/>
        </w:rPr>
        <w:t>$1,200,000 per annum (the “Base Salary”). The Compensation Committee of the Board may review and adjust the Base Salary from time to time and, if so adjusted, the adjusted amount shall be considered the Base Salary for purposes of the Company’s compensation plans. In no event shall the base salary ever be reduced while in this role.</w:t>
      </w:r>
    </w:p>
    <w:p>
      <w:pPr>
        <w:spacing w:after="0" w:line="201" w:lineRule="exact"/>
        <w:rPr>
          <w:sz w:val="20"/>
          <w:szCs w:val="20"/>
          <w:color w:val="auto"/>
        </w:rPr>
      </w:pPr>
    </w:p>
    <w:p>
      <w:pPr>
        <w:ind w:right="120" w:firstLine="1304"/>
        <w:spacing w:after="0" w:line="269" w:lineRule="auto"/>
        <w:tabs>
          <w:tab w:leader="none" w:pos="172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Compensation</w:t>
      </w:r>
      <w:r>
        <w:rPr>
          <w:rFonts w:ascii="Times New Roman" w:cs="Times New Roman" w:eastAsia="Times New Roman" w:hAnsi="Times New Roman"/>
          <w:sz w:val="21"/>
          <w:szCs w:val="21"/>
          <w:color w:val="auto"/>
        </w:rPr>
        <w:t>. As Chief Executive Officer, you will continue to be eligible for annual incentive EICP</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compensation and Long-Term Incentive (equity) compensation in accordance with the Company’s EICP and Long-Term Incentive Plans. The Board may review and adjust your target Annual and Long-Term Incentive amounts from time to time and, if so adjusted, the adjusted amount shall be considered the new target for purposes of the Company’s total compensation plans.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765" w:right="339" w:bottom="1440" w:gutter="0" w:footer="0" w:header="0"/>
        </w:sectPr>
      </w:pPr>
    </w:p>
    <w:bookmarkStart w:id="125" w:name="page126"/>
    <w:bookmarkEnd w:id="125"/>
    <w:p>
      <w:pPr>
        <w:ind w:firstLine="1304"/>
        <w:spacing w:after="0" w:line="248" w:lineRule="auto"/>
        <w:tabs>
          <w:tab w:leader="none" w:pos="166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Awards</w:t>
      </w:r>
      <w:r>
        <w:rPr>
          <w:rFonts w:ascii="Times New Roman" w:cs="Times New Roman" w:eastAsia="Times New Roman" w:hAnsi="Times New Roman"/>
          <w:sz w:val="22"/>
          <w:szCs w:val="22"/>
          <w:color w:val="auto"/>
        </w:rPr>
        <w:t>. Notwithstanding any contrary provision of the Charles River Laboratories International,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and Restated 2018 Incentive Plan (or any successor or predecessor equity incentive plan), or any award agreement governing an equity award granted to you, because you have met the minimum requirements of age and tenure for retirement treatment of equity, any involuntary termination of your employment by the Company without cause shall be deemed to be a retirement for purposes of any current or future equity award that designates treatment for “retirement,” provided that such retirement treatment may be made contingent upon your continued services during a transition period not to exceed six months. A termination of your employment for any other circumstances will be governed under the applicable provisions of the Long Term-Incentive Plan and any applicable award agreement. “Cause” means (i) the willful and continued failure by the Employee to perform the Employee’s duties with the Company, (ii) a substantial and not de minimis violation of the Company’s Code of Business Conduct and Ethics (and any successor policy as the same are in effect from time to time (iii) the Employees conviction of a felony or (iv) engaging in conduct that constitutes a violation of any (x) confidential agreements with the Company or (y) confidentiality policies applicable to the employee.</w:t>
      </w:r>
    </w:p>
    <w:p>
      <w:pPr>
        <w:spacing w:after="0" w:line="211" w:lineRule="exact"/>
        <w:rPr>
          <w:rFonts w:ascii="Times New Roman" w:cs="Times New Roman" w:eastAsia="Times New Roman" w:hAnsi="Times New Roman"/>
          <w:sz w:val="22"/>
          <w:szCs w:val="22"/>
          <w:color w:val="auto"/>
        </w:rPr>
      </w:pPr>
    </w:p>
    <w:p>
      <w:pPr>
        <w:ind w:right="340" w:firstLine="656"/>
        <w:spacing w:after="0" w:line="275" w:lineRule="auto"/>
        <w:tabs>
          <w:tab w:leader="none" w:pos="10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Withholding</w:t>
      </w:r>
      <w:r>
        <w:rPr>
          <w:rFonts w:ascii="Times New Roman" w:cs="Times New Roman" w:eastAsia="Times New Roman" w:hAnsi="Times New Roman"/>
          <w:sz w:val="22"/>
          <w:szCs w:val="22"/>
          <w:color w:val="auto"/>
        </w:rPr>
        <w:t>. All compensation provided to you during your employment with the Company will be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income and payroll tax withholding and deductions as required by law.</w:t>
      </w:r>
    </w:p>
    <w:p>
      <w:pPr>
        <w:spacing w:after="0" w:line="189" w:lineRule="exact"/>
        <w:rPr>
          <w:rFonts w:ascii="Times New Roman" w:cs="Times New Roman" w:eastAsia="Times New Roman" w:hAnsi="Times New Roman"/>
          <w:sz w:val="22"/>
          <w:szCs w:val="22"/>
          <w:color w:val="auto"/>
        </w:rPr>
      </w:pPr>
    </w:p>
    <w:p>
      <w:pPr>
        <w:ind w:right="100" w:firstLine="656"/>
        <w:spacing w:after="0" w:line="252" w:lineRule="auto"/>
        <w:tabs>
          <w:tab w:leader="none" w:pos="102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Governing Law; Jurisdiction. With respect to the subject matters addressed in this letter, this letter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supersedes and replaces all prior agreements, representations or understandings (whether written, oral, implied or otherwise) between you and the Company, and constitutes the complete agreement between you and the Company regarding your compensation and employment with the Company. Similar to all other employees of the Company, your employment is “at will” and may be terminated by you or the Company at any time. This letter will be governed by the laws of the Commonwealth of Massachusetts, without regard to principles of conflicts of law.</w:t>
      </w:r>
    </w:p>
    <w:p>
      <w:pPr>
        <w:spacing w:after="0" w:line="20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If you have any questions about this letter or your role as our Chief Executive Officer, please do not hesitate to contact me at your convenience.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/s/ Reshema Kemps-Polanco</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Reshema Kemps-Polanco</w:t>
      </w:r>
    </w:p>
    <w:p>
      <w:pPr>
        <w:spacing w:after="0" w:line="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Chairman of the Compensation Committee</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Of the Board of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Birgit Girshick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Birgit Girshick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77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660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4220" w:type="dxa"/>
            <w:vAlign w:val="bottom"/>
          </w:tcPr>
          <w:p>
            <w:pPr>
              <w:spacing w:after="0"/>
              <w:rPr>
                <w:sz w:val="20"/>
                <w:szCs w:val="20"/>
                <w:color w:val="auto"/>
              </w:rPr>
            </w:pPr>
          </w:p>
        </w:tc>
      </w:tr>
      <w:tr>
        <w:trPr>
          <w:trHeight w:val="20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2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2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Inc.</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UK Limited</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6600" w:type="dxa"/>
            <w:vAlign w:val="bottom"/>
            <w:shd w:val="clear" w:color="auto" w:fill="CCEEFF"/>
          </w:tcPr>
          <w:p>
            <w:pPr>
              <w:ind w:left="180"/>
              <w:spacing w:after="0" w:line="207" w:lineRule="exact"/>
              <w:rPr>
                <w:sz w:val="20"/>
                <w:szCs w:val="20"/>
                <w:color w:val="auto"/>
              </w:rPr>
            </w:pPr>
            <w:r>
              <w:rPr>
                <w:rFonts w:ascii="Times New Roman" w:cs="Times New Roman" w:eastAsia="Times New Roman" w:hAnsi="Times New Roman"/>
                <w:sz w:val="18"/>
                <w:szCs w:val="18"/>
                <w:color w:val="auto"/>
              </w:rPr>
              <w:t>Charles River Laboratories Saint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Constant S.A.</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Quebec, Canada</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Nederland B.V.</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Holding SAS</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France C.R.L.F. SAS</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BioFocus DPI (Holdings) Limited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Belgium SRL</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España SA</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Italia Srl</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Germany Holding GmbH</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Poland Sp. Z.o.o.</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Poland</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Ireland Limited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Research Models and Services, Germany GmbH</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Luxembourg S.a.r.l.</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Group</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Kingdom (Scotland)</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Edinburgh Limited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United Kingdom (Scotland)</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ULC</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Montreal ULC</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Australia Pty. Ltd.</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Zhanjiang A&amp;C Biological Ltd.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Korea</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Korea</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Asia Holdings Limited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Germany GmbH</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Discovery Research Services, Inc.</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India Private Limited</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Discovery Research Services Finland Oy</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Finland</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Accugenix LLC</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Beijing Vital River Laboratory Animal Technology Co. Ltd.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Detecçăo Microbiana e de Endotoxina Participaçơes Ltda</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Endotoxin and Microbial Detection Singapore Pte. Ltd.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Endotoxin Microbial Detection Europe SAS</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Holdings Limited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Discovery Research Services UK Limited</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Cleveland, Inc.</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Endotoxin and Microbial Detection Israel</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Celsis Group Limited</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Celsis Limited</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Celsis International B.V.</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Microbial Solutions Germany GmbH</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France Safety Assessment SAS</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CRL Safety Assessment, Inc.</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SA USA, Inc.</w:t>
            </w:r>
          </w:p>
        </w:tc>
        <w:tc>
          <w:tcPr>
            <w:tcW w:w="4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Ashland, LLC</w:t>
            </w:r>
          </w:p>
        </w:tc>
        <w:tc>
          <w:tcPr>
            <w:tcW w:w="4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332"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45</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SA Netherlands Holdings B.V.</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46</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I Delaware Holdings, Inc.</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47</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II Delaware Holdings, Inc.</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48</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Den Bosch B.V.</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49</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Zhejiang Vital River Laboratory Animal Technology Co. Ltd.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50</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Microbial Solutions International Limited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51</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Microbial Solutions (Shanghai) Company Limited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52</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Denmark ApS</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53</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CRL Group International France</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54</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Evreux</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55</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Saint Nazaire</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56</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Hungary</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Hungary</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57</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Switzerland AG</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58</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Cell Solutions, Inc.</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59</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Cobra Biologics Limited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60</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Guangdong Vital River Laboratory Animal Technology Co. Ltd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61</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 Chuan Vital River Laboratory Animal Technologies Co. Ltd.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62</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Japan G.K.</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63</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Laboratories Sweden AB</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64</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Cobra Biologics Holding Limited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Kingdom (England)</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65</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Charles River Accelerator &amp; Development Laboratories (Shanghai) Company Limited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66</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Zhanjiang Puju Biological Co. Ltd.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67</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Hainan New Source Biotech Ltd.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68</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Nederland II B.V.</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69</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Kandurt LLC</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70</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Kandurt Member LLC</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71</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Noveprim Limited</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Mauritius</w:t>
            </w:r>
          </w:p>
        </w:tc>
      </w:tr>
      <w:tr>
        <w:trPr>
          <w:trHeight w:val="230"/>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72</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Noveprim Property Limited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Mauritius</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73</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Camarney S.L. Spain</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74</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(Cambodia) Co. Ltd.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Cambodia</w:t>
            </w:r>
          </w:p>
        </w:tc>
      </w:tr>
      <w:tr>
        <w:trPr>
          <w:trHeight w:val="230"/>
        </w:trPr>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75</w:t>
            </w:r>
          </w:p>
        </w:tc>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Sci les Oncins</w:t>
            </w:r>
          </w:p>
        </w:tc>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76</w:t>
            </w: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Charles River Laboratories England Limited</w:t>
            </w:r>
          </w:p>
        </w:tc>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Kingdom (England)</w:t>
            </w:r>
          </w:p>
        </w:tc>
      </w:tr>
    </w:tbl>
    <w:p>
      <w:pPr>
        <w:sectPr>
          <w:pgSz w:w="11900" w:h="16838" w:orient="portrait"/>
          <w:cols w:equalWidth="0" w:num="1">
            <w:col w:w="11200"/>
          </w:cols>
          <w:pgMar w:left="340" w:top="1138" w:right="35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34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333-279262) and Form S-8 (Nos. 333-238567, 333-225046 and 333-212507) of Charles River Laboratories International, Inc. of our report dated February 18,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ectPr>
          <w:pgSz w:w="11900" w:h="16838" w:orient="portrait"/>
          <w:cols w:equalWidth="0" w:num="1">
            <w:col w:w="11240"/>
          </w:cols>
          <w:pgMar w:left="320" w:top="111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Foster, Chairman, President and Chief Executive Officer of Charles River Laboratories International, Inc. (the registrant) certify that:</w:t>
      </w:r>
    </w:p>
    <w:p>
      <w:pPr>
        <w:spacing w:after="0" w:line="225"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27, 2025 of the registrant;</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 Foster</w:t>
            </w:r>
          </w:p>
        </w:tc>
      </w:tr>
      <w:tr>
        <w:trPr>
          <w:trHeight w:val="27"/>
        </w:trPr>
        <w:tc>
          <w:tcPr>
            <w:tcW w:w="418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69"/>
        </w:trPr>
        <w:tc>
          <w:tcPr>
            <w:tcW w:w="4180" w:type="dxa"/>
            <w:vAlign w:val="bottom"/>
          </w:tcPr>
          <w:p>
            <w:pPr>
              <w:spacing w:after="0"/>
              <w:rPr>
                <w:sz w:val="14"/>
                <w:szCs w:val="14"/>
                <w:color w:val="auto"/>
              </w:rPr>
            </w:pPr>
          </w:p>
        </w:tc>
        <w:tc>
          <w:tcPr>
            <w:tcW w:w="63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C. Foster</w:t>
            </w:r>
          </w:p>
        </w:tc>
      </w:tr>
      <w:tr>
        <w:trPr>
          <w:trHeight w:val="184"/>
        </w:trPr>
        <w:tc>
          <w:tcPr>
            <w:tcW w:w="4180" w:type="dxa"/>
            <w:vAlign w:val="bottom"/>
          </w:tcPr>
          <w:p>
            <w:pPr>
              <w:spacing w:after="0"/>
              <w:rPr>
                <w:sz w:val="16"/>
                <w:szCs w:val="16"/>
                <w:color w:val="auto"/>
              </w:rPr>
            </w:pPr>
          </w:p>
        </w:tc>
        <w:tc>
          <w:tcPr>
            <w:tcW w:w="6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r>
        <w:trPr>
          <w:trHeight w:val="24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February 18, 2026</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 Michael G. Knell, Interim Chief Financial Officer, and Corporate Senior Vice President, Chief Accounting Officer of Charles River Laboratories International, Inc. (the registrant) certify that:</w:t>
      </w:r>
    </w:p>
    <w:p>
      <w:pPr>
        <w:spacing w:after="0" w:line="108"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27, 2025 of the registrant;</w:t>
      </w:r>
    </w:p>
    <w:p>
      <w:pPr>
        <w:spacing w:after="0" w:line="17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G. Knell</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8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Michael G. Knell</w:t>
            </w: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8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Interim Chief Financial Officer, Corporate Senior Vice President, Chief Accounting Officer</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February 18, 2026</w:t>
            </w:r>
          </w:p>
        </w:tc>
        <w:tc>
          <w:tcPr>
            <w:tcW w:w="8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(duly authorized officer and Principal Financial and Accounting Officer)</w:t>
            </w:r>
          </w:p>
        </w:tc>
        <w:tc>
          <w:tcPr>
            <w:tcW w:w="0" w:type="dxa"/>
            <w:vAlign w:val="bottom"/>
          </w:tcPr>
          <w:p>
            <w:pPr>
              <w:spacing w:after="0"/>
              <w:rPr>
                <w:sz w:val="1"/>
                <w:szCs w:val="1"/>
                <w:color w:val="auto"/>
              </w:rPr>
            </w:pPr>
          </w:p>
        </w:tc>
      </w:tr>
      <w:tr>
        <w:trPr>
          <w:trHeight w:val="234"/>
        </w:trPr>
        <w:tc>
          <w:tcPr>
            <w:tcW w:w="2280" w:type="dxa"/>
            <w:vAlign w:val="bottom"/>
            <w:vMerge w:val="continue"/>
          </w:tcPr>
          <w:p>
            <w:pPr>
              <w:spacing w:after="0"/>
              <w:rPr>
                <w:sz w:val="20"/>
                <w:szCs w:val="20"/>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27, 2025 of Charles River Laboratories International, Inc. (the “Company”) as filed with the Securities and Exchange Commission on the date hereof (the “Report”), the undersigned, James C. Foster, Chairman, President and Chief Executive Officer of the Company, and Michael G. Knell, Interim Chief Financial Officer, and Corporate Senior Vice President, Chief Accounting Officer of the Company, each hereby certifies, to the best of his knowledge and pursuant to 18 U.S.C. Section 1350, that:</w:t>
      </w:r>
    </w:p>
    <w:p>
      <w:pPr>
        <w:spacing w:after="0" w:line="180" w:lineRule="exact"/>
        <w:rPr>
          <w:sz w:val="20"/>
          <w:szCs w:val="20"/>
          <w:color w:val="auto"/>
        </w:rPr>
      </w:pPr>
    </w:p>
    <w:p>
      <w:pPr>
        <w:ind w:left="1040" w:hanging="384"/>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(the “Exchange Act”);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 Foster</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8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C. Foster</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6"/>
                <w:szCs w:val="16"/>
                <w:color w:val="auto"/>
              </w:rPr>
            </w:pPr>
          </w:p>
        </w:tc>
        <w:tc>
          <w:tcPr>
            <w:tcW w:w="8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February 18, 2026</w:t>
            </w: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c>
          <w:tcPr>
            <w:tcW w:w="0" w:type="dxa"/>
            <w:vAlign w:val="bottom"/>
          </w:tcPr>
          <w:p>
            <w:pPr>
              <w:spacing w:after="0"/>
              <w:rPr>
                <w:sz w:val="1"/>
                <w:szCs w:val="1"/>
                <w:color w:val="auto"/>
              </w:rPr>
            </w:pPr>
          </w:p>
        </w:tc>
      </w:tr>
      <w:tr>
        <w:trPr>
          <w:trHeight w:val="446"/>
        </w:trPr>
        <w:tc>
          <w:tcPr>
            <w:tcW w:w="2260" w:type="dxa"/>
            <w:vAlign w:val="bottom"/>
          </w:tcPr>
          <w:p>
            <w:pPr>
              <w:spacing w:after="0"/>
              <w:rPr>
                <w:sz w:val="24"/>
                <w:szCs w:val="24"/>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G. Knell</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8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Michael G. Knell</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8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Interim Chief Financial Officer, Corporate Senior Vice President, Chief Accounting Officer</w:t>
            </w: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February 18, 2026</w:t>
            </w:r>
          </w:p>
        </w:tc>
        <w:tc>
          <w:tcPr>
            <w:tcW w:w="8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(duly authorized officer and Principal Financial and Accounting Officer)</w:t>
            </w:r>
          </w:p>
        </w:tc>
        <w:tc>
          <w:tcPr>
            <w:tcW w:w="0" w:type="dxa"/>
            <w:vAlign w:val="bottom"/>
          </w:tcPr>
          <w:p>
            <w:pPr>
              <w:spacing w:after="0"/>
              <w:rPr>
                <w:sz w:val="1"/>
                <w:szCs w:val="1"/>
                <w:color w:val="auto"/>
              </w:rPr>
            </w:pPr>
          </w:p>
        </w:tc>
      </w:tr>
      <w:tr>
        <w:trPr>
          <w:trHeight w:val="234"/>
        </w:trPr>
        <w:tc>
          <w:tcPr>
            <w:tcW w:w="2260" w:type="dxa"/>
            <w:vAlign w:val="bottom"/>
            <w:vMerge w:val="continue"/>
          </w:tcPr>
          <w:p>
            <w:pPr>
              <w:spacing w:after="0"/>
              <w:rPr>
                <w:sz w:val="20"/>
                <w:szCs w:val="20"/>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3"/>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upperLetter"/>
      <w:start w:val="1"/>
    </w:lvl>
  </w:abstractNum>
  <w:abstractNum w:abstractNumId="41">
    <w:nsid w:val="32FFF902"/>
    <w:multiLevelType w:val="hybridMultilevel"/>
    <w:lvl w:ilvl="0">
      <w:lvlJc w:val="left"/>
      <w:lvlText w:val="%1."/>
      <w:numFmt w:val="upperLetter"/>
      <w:start w:val="2"/>
    </w:lvl>
  </w:abstractNum>
  <w:abstractNum w:abstractNumId="42">
    <w:nsid w:val="684A481A"/>
    <w:multiLevelType w:val="hybridMultilevel"/>
    <w:lvl w:ilvl="0">
      <w:lvlJc w:val="left"/>
      <w:lvlText w:val="%1."/>
      <w:numFmt w:val="upperLetter"/>
      <w:start w:val="5"/>
    </w:lvl>
  </w:abstractNum>
  <w:abstractNum w:abstractNumId="43">
    <w:nsid w:val="579478FE"/>
    <w:multiLevelType w:val="hybridMultilevel"/>
    <w:lvl w:ilvl="0">
      <w:lvlJc w:val="left"/>
      <w:lvlText w:val="%1."/>
      <w:numFmt w:val="upperLetter"/>
      <w:start w:val="6"/>
    </w:lvl>
  </w:abstractNum>
  <w:abstractNum w:abstractNumId="44">
    <w:nsid w:val="749ABB43"/>
    <w:multiLevelType w:val="hybridMultilevel"/>
    <w:lvl w:ilvl="0">
      <w:lvlJc w:val="left"/>
      <w:lvlText w:val="%1."/>
      <w:numFmt w:val="upperLetter"/>
      <w:start w:val="1"/>
    </w:lvl>
  </w:abstractNum>
  <w:abstractNum w:abstractNumId="45">
    <w:nsid w:val="3DC240FB"/>
    <w:multiLevelType w:val="hybridMultilevel"/>
    <w:lvl w:ilvl="0">
      <w:lvlJc w:val="left"/>
      <w:lvlText w:val="%1."/>
      <w:numFmt w:val="upperLetter"/>
      <w:start w:val="2"/>
    </w:lvl>
  </w:abstractNum>
  <w:abstractNum w:abstractNumId="46">
    <w:nsid w:val="1BA026FA"/>
    <w:multiLevelType w:val="hybridMultilevel"/>
    <w:lvl w:ilvl="0">
      <w:lvlJc w:val="left"/>
      <w:lvlText w:val="*"/>
      <w:numFmt w:val="bullet"/>
      <w:start w:val="1"/>
    </w:lvl>
    <w:lvl w:ilvl="1">
      <w:lvlJc w:val="left"/>
      <w:lvlText w:val="%2"/>
      <w:numFmt w:val="decimal"/>
      <w:start w:val="104"/>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2"/>
    </w:lvl>
  </w:abstractNum>
  <w:abstractNum w:abstractNumId="50">
    <w:nsid w:val="70C6A529"/>
    <w:multiLevelType w:val="hybridMultilevel"/>
    <w:lvl w:ilvl="0">
      <w:lvlJc w:val="left"/>
      <w:lvlText w:val="%1"/>
      <w:numFmt w:val="decimal"/>
      <w:start w:val="1"/>
    </w:lvl>
    <w:lvl w:ilvl="1">
      <w:lvlJc w:val="left"/>
      <w:lvlText w:val="%2."/>
      <w:numFmt w:val="lowerLetter"/>
      <w:start w:val="3"/>
    </w:lvl>
  </w:abstractNum>
  <w:abstractNum w:abstractNumId="51">
    <w:nsid w:val="520EEDD1"/>
    <w:multiLevelType w:val="hybridMultilevel"/>
    <w:lvl w:ilvl="0">
      <w:lvlJc w:val="left"/>
      <w:lvlText w:val="%1."/>
      <w:numFmt w:val="decimal"/>
      <w:start w:val="3"/>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4"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65" Type="http://schemas.openxmlformats.org/officeDocument/2006/relationships/hyperlink" Target="https://www.sec.gov/Archives/edgar/data/1100682/000091205700029480/ex-3_1.txt" TargetMode="External"/><Relationship Id="rId166" Type="http://schemas.openxmlformats.org/officeDocument/2006/relationships/hyperlink" Target="https://www.sec.gov/Archives/edgar/data/1100682/000110068221000025/exhibit31121321.htm" TargetMode="External"/><Relationship Id="rId167" Type="http://schemas.openxmlformats.org/officeDocument/2006/relationships/hyperlink" Target="https://www.sec.gov/Archives/edgar/data/1100682/000091205700029480/ex-4_1.txt" TargetMode="External"/><Relationship Id="rId168" Type="http://schemas.openxmlformats.org/officeDocument/2006/relationships/hyperlink" Target="https://www.sec.gov/Archives/edgar/data/1100682/000110068220000005/crl1228201910-kxex42.htm" TargetMode="External"/><Relationship Id="rId169" Type="http://schemas.openxmlformats.org/officeDocument/2006/relationships/hyperlink" Target="https://www.sec.gov/Archives/edgar/data/0001100682/000110068220000026/ex103-psu2020.htm" TargetMode="External"/><Relationship Id="rId170" Type="http://schemas.openxmlformats.org/officeDocument/2006/relationships/hyperlink" Target="https://www.sec.gov/Archives/edgar/data/1100682/000095010318004337/dp89174_ex0401.htm" TargetMode="External"/><Relationship Id="rId171" Type="http://schemas.openxmlformats.org/officeDocument/2006/relationships/hyperlink" Target="https://www.sec.gov/Archives/edgar/data/1100682/000110068219000026/exhibit41.htm" TargetMode="External"/><Relationship Id="rId172" Type="http://schemas.openxmlformats.org/officeDocument/2006/relationships/hyperlink" Target="https://www.sec.gov/Archives/edgar/data/0001100682/000095010321004449/dp148253_ex0401.htm" TargetMode="External"/><Relationship Id="rId173" Type="http://schemas.openxmlformats.org/officeDocument/2006/relationships/hyperlink" Target="https://www.sec.gov/Archives/edgar/data/0001100682/000095010321004449/dp148253_ex0402.htm" TargetMode="External"/><Relationship Id="rId174" Type="http://schemas.openxmlformats.org/officeDocument/2006/relationships/hyperlink" Target="https://www.sec.gov/Archives/edgar/data/0001100682/000095010321006693/dp150175_ex0401.htm" TargetMode="External"/><Relationship Id="rId175" Type="http://schemas.openxmlformats.org/officeDocument/2006/relationships/hyperlink" Target="https://www.sec.gov/Archives/edgar/data/0001100682/000095010321006693/dp150175_ex0402.htm" TargetMode="External"/><Relationship Id="rId176" Type="http://schemas.openxmlformats.org/officeDocument/2006/relationships/hyperlink" Target="https://www.sec.gov/Archives/edgar/data/1100682/000110068216000013/crl6252016ex101.htm" TargetMode="External"/><Relationship Id="rId177" Type="http://schemas.openxmlformats.org/officeDocument/2006/relationships/hyperlink" Target="https://www.sec.gov/Archives/edgar/data/1100682/000110068224000007/crl1230202310-kex102.htm" TargetMode="External"/><Relationship Id="rId178" Type="http://schemas.openxmlformats.org/officeDocument/2006/relationships/hyperlink" Target="https://www.sec.gov/Archives/edgar/data/1100682/000110068217000003/crl1231201610-kxex104.htm" TargetMode="External"/><Relationship Id="rId179" Type="http://schemas.openxmlformats.org/officeDocument/2006/relationships/hyperlink" Target="https://www.sec.gov/Archives/edgar/data/1100682/000110068217000003/crl1231201610-kxex107.htm" TargetMode="External"/><Relationship Id="rId180" Type="http://schemas.openxmlformats.org/officeDocument/2006/relationships/hyperlink" Target="https://www.sec.gov/Archives/edgar/data/1100682/000110068220000026/ex101-nq2020.htm" TargetMode="External"/><Relationship Id="rId181" Type="http://schemas.openxmlformats.org/officeDocument/2006/relationships/hyperlink" Target="https://www.sec.gov/Archives/edgar/data/1100682/000110068224000007/crl1230202310-kex106.htm" TargetMode="External"/><Relationship Id="rId182" Type="http://schemas.openxmlformats.org/officeDocument/2006/relationships/hyperlink" Target="https://www.sec.gov/Archives/edgar/data/1100682/000110068225000011/crl1228202410-kex107.htm" TargetMode="External"/><Relationship Id="rId183" Type="http://schemas.openxmlformats.org/officeDocument/2006/relationships/hyperlink" Target="https://www.sec.gov/Archives/edgar/data/1100682/000104746909001689/a2190829zex-10_7.htm" TargetMode="External"/><Relationship Id="rId185" Type="http://schemas.openxmlformats.org/officeDocument/2006/relationships/hyperlink" Target="https://www.sec.gov/Archives/edgar/data/1100682/000110068216000010/crl3262016ex101.htm" TargetMode="External"/><Relationship Id="rId186" Type="http://schemas.openxmlformats.org/officeDocument/2006/relationships/hyperlink" Target="https://www.sec.gov/Archives/edgar/data/1100682/000104746905005909/a2152761zex-10_23.txt" TargetMode="External"/><Relationship Id="rId187" Type="http://schemas.openxmlformats.org/officeDocument/2006/relationships/hyperlink" Target="https://www.sec.gov/Archives/edgar/data/0001100682/000095010321007423/dp151239_ex9901.htm" TargetMode="External"/><Relationship Id="rId188" Type="http://schemas.openxmlformats.org/officeDocument/2006/relationships/hyperlink" Target="https://www.sec.gov/Archives/edgar/data/1100682/000110068225000034/crl6282025ex101.htm" TargetMode="External"/><Relationship Id="rId189" Type="http://schemas.openxmlformats.org/officeDocument/2006/relationships/hyperlink" Target="https://www.sec.gov/Archives/edgar/data/0001100682/000110068221000010/ex102eicpplandocument2021f.htm" TargetMode="External"/><Relationship Id="rId190" Type="http://schemas.openxmlformats.org/officeDocument/2006/relationships/hyperlink" Target="https://www.sec.gov/Archives/edgar/data/1100682/000110068225000011/crl1228202410-kex1013.htm" TargetMode="External"/><Relationship Id="rId191" Type="http://schemas.openxmlformats.org/officeDocument/2006/relationships/hyperlink" Target="https://www.sec.gov/Archives/edgar/data/1100682/000095010324017767/dp222024_ex1001.htm" TargetMode="External"/><Relationship Id="rId192" Type="http://schemas.openxmlformats.org/officeDocument/2006/relationships/hyperlink" Target="https://www.sec.gov/Archives/edgar/data/0001100682/000110068221000028/exhibit101-8xkfiled122721.htm" TargetMode="External"/><Relationship Id="rId193" Type="http://schemas.openxmlformats.org/officeDocument/2006/relationships/hyperlink" Target="https://www.sec.gov/Archives/edgar/data/0001100682/000110068221000028/exhibit102-8xkfiled122721.htm" TargetMode="External"/><Relationship Id="rId194" Type="http://schemas.openxmlformats.org/officeDocument/2006/relationships/hyperlink" Target="https://www.sec.gov/Archives/edgar/data/1100682/000095010325005798/dp228602_ex1001.htm" TargetMode="External"/><Relationship Id="rId195" Type="http://schemas.openxmlformats.org/officeDocument/2006/relationships/hyperlink" Target="https://www.sec.gov/Archives/edgar/data/1100682/000110068224000007/crl1230202310-kex19.htm" TargetMode="External"/><Relationship Id="rId196" Type="http://schemas.openxmlformats.org/officeDocument/2006/relationships/hyperlink" Target="https://www.sec.gov/Archives/edgar/data/1100682/000110068224000007/crl12302023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2026-02-18T08:28:56Z</dcterms:created>
  <dcterms:modified xsi:type="dcterms:W3CDTF">2026-02-18T08:28:56Z</dcterms:modified>
</cp:coreProperties>
</file>