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59" w:type="dxa"/>
        <w:jc w:val="center"/>
        <w:tblInd w:w="0" w:type="dxa"/>
        <w:tblLayout w:type="fixed"/>
        <w:tblCellMar>
          <w:top w:w="28" w:type="dxa"/>
          <w:left w:w="28" w:type="dxa"/>
          <w:bottom w:w="28" w:type="dxa"/>
          <w:right w:w="28" w:type="dxa"/>
        </w:tblCellMar>
      </w:tblPr>
      <w:tblGrid>
        <w:gridCol w:w="358"/>
        <w:gridCol w:w="316"/>
        <w:gridCol w:w="316"/>
        <w:gridCol w:w="1650"/>
        <w:gridCol w:w="1650"/>
        <w:gridCol w:w="2369"/>
      </w:tblGrid>
      <w:tr>
        <w:trPr/>
        <w:tc>
          <w:tcPr>
            <w:tcW w:w="3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r>
      <w:tr>
        <w:trPr/>
        <w:tc>
          <w:tcPr>
            <w:tcW w:w="66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FORM 10-Q</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 One)</w:t>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w:t>
            </w:r>
          </w:p>
          <w:p>
            <w:pPr>
              <w:pStyle w:val="TableContents"/>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27, 2026</w:t>
      </w:r>
    </w:p>
    <w:tbl>
      <w:tblPr>
        <w:tblW w:w="5997" w:type="dxa"/>
        <w:jc w:val="center"/>
        <w:tblInd w:w="0" w:type="dxa"/>
        <w:tblLayout w:type="fixed"/>
        <w:tblCellMar>
          <w:top w:w="28" w:type="dxa"/>
          <w:left w:w="28" w:type="dxa"/>
          <w:bottom w:w="28" w:type="dxa"/>
          <w:right w:w="28" w:type="dxa"/>
        </w:tblCellMar>
      </w:tblPr>
      <w:tblGrid>
        <w:gridCol w:w="124"/>
        <w:gridCol w:w="109"/>
        <w:gridCol w:w="109"/>
        <w:gridCol w:w="1656"/>
        <w:gridCol w:w="1656"/>
        <w:gridCol w:w="2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5997" w:type="dxa"/>
            <w:gridSpan w:val="6"/>
            <w:tcBorders/>
            <w:tcMar>
              <w:top w:w="0" w:type="dxa"/>
              <w:left w:w="0" w:type="dxa"/>
              <w:bottom w:w="0" w:type="dxa"/>
              <w:right w:w="0" w:type="dxa"/>
            </w:tcMar>
            <w:vAlign w:val="center"/>
          </w:tcPr>
          <w:p>
            <w:pPr>
              <w:pStyle w:val="TableContents"/>
              <w:bidi w:val="0"/>
              <w:spacing w:before="120" w:after="283"/>
              <w:jc w:val="center"/>
              <w:rPr/>
            </w:pPr>
            <w:r>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w:t>
            </w:r>
          </w:p>
          <w:p>
            <w:pPr>
              <w:pStyle w:val="TableContents"/>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 THE SECURITIES EXCHANGE ACT OF 1934</w:t>
            </w:r>
          </w:p>
        </w:tc>
      </w:tr>
      <w:tr>
        <w:trPr/>
        <w:tc>
          <w:tcPr>
            <w:tcW w:w="5997"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No. 001-15943</w:t>
      </w:r>
    </w:p>
    <w:p>
      <w:pPr>
        <w:pStyle w:val="TextBody"/>
        <w:bidi w:val="0"/>
        <w:spacing w:before="120" w:after="283"/>
        <w:jc w:val="center"/>
        <w:rPr/>
      </w:pPr>
      <w:r>
        <w:rPr/>
        <w:drawing>
          <wp:inline distT="0" distB="0" distL="0" distR="0">
            <wp:extent cx="1524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572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CHARLES RIVER LABORATORIES INTERNATIONAL,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700" w:type="dxa"/>
        <w:jc w:val="center"/>
        <w:tblInd w:w="0" w:type="dxa"/>
        <w:tblLayout w:type="fixed"/>
        <w:tblCellMar>
          <w:top w:w="28" w:type="dxa"/>
          <w:left w:w="28" w:type="dxa"/>
          <w:bottom w:w="28" w:type="dxa"/>
          <w:right w:w="28" w:type="dxa"/>
        </w:tblCellMar>
      </w:tblPr>
      <w:tblGrid>
        <w:gridCol w:w="825"/>
        <w:gridCol w:w="723"/>
        <w:gridCol w:w="732"/>
        <w:gridCol w:w="109"/>
        <w:gridCol w:w="109"/>
        <w:gridCol w:w="109"/>
        <w:gridCol w:w="109"/>
        <w:gridCol w:w="109"/>
        <w:gridCol w:w="109"/>
        <w:gridCol w:w="109"/>
        <w:gridCol w:w="109"/>
        <w:gridCol w:w="109"/>
        <w:gridCol w:w="419"/>
        <w:gridCol w:w="419"/>
        <w:gridCol w:w="601"/>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06-1397316</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251 Ballardvale Street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Wilmington, Massachusetts 01887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12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(781) 222-6000 </w:t>
      </w:r>
    </w:p>
    <w:p>
      <w:pPr>
        <w:pStyle w:val="TextBody"/>
        <w:bidi w:val="0"/>
        <w:spacing w:before="0" w:after="0"/>
        <w:jc w:val="center"/>
        <w:rPr/>
      </w:pPr>
      <w:r>
        <w:rPr/>
      </w:r>
    </w:p>
    <w:tbl>
      <w:tblPr>
        <w:tblW w:w="8072" w:type="dxa"/>
        <w:jc w:val="center"/>
        <w:tblInd w:w="0" w:type="dxa"/>
        <w:tblLayout w:type="fixed"/>
        <w:tblCellMar>
          <w:top w:w="28" w:type="dxa"/>
          <w:left w:w="28" w:type="dxa"/>
          <w:bottom w:w="28" w:type="dxa"/>
          <w:right w:w="28" w:type="dxa"/>
        </w:tblCellMar>
      </w:tblPr>
      <w:tblGrid>
        <w:gridCol w:w="979"/>
        <w:gridCol w:w="860"/>
        <w:gridCol w:w="860"/>
        <w:gridCol w:w="516"/>
        <w:gridCol w:w="516"/>
        <w:gridCol w:w="516"/>
        <w:gridCol w:w="1120"/>
        <w:gridCol w:w="1120"/>
        <w:gridCol w:w="1585"/>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Securities registered pursuant to Section 12(b) of the Act:</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Ticker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CRL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 xml:space="preserve">☐ </w:t>
      </w:r>
    </w:p>
    <w:p>
      <w:pPr>
        <w:pStyle w:val="TextBody"/>
        <w:bidi w:val="0"/>
        <w:spacing w:lineRule="auto" w:line="288" w:before="120" w:after="12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29" w:type="dxa"/>
        <w:jc w:val="left"/>
        <w:tblInd w:w="0" w:type="dxa"/>
        <w:tblLayout w:type="fixed"/>
        <w:tblCellMar>
          <w:top w:w="28" w:type="dxa"/>
          <w:left w:w="28" w:type="dxa"/>
          <w:bottom w:w="28" w:type="dxa"/>
          <w:right w:w="28" w:type="dxa"/>
        </w:tblCellMar>
      </w:tblPr>
      <w:tblGrid>
        <w:gridCol w:w="804"/>
        <w:gridCol w:w="707"/>
        <w:gridCol w:w="709"/>
        <w:gridCol w:w="109"/>
        <w:gridCol w:w="109"/>
        <w:gridCol w:w="109"/>
        <w:gridCol w:w="769"/>
        <w:gridCol w:w="769"/>
        <w:gridCol w:w="772"/>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120" w:after="283"/>
              <w:jc w:val="right"/>
              <w:rPr/>
            </w:pPr>
            <w:r>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As of July 25, 2026, there were 47,738,872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27,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9"/>
        <w:gridCol w:w="288"/>
        <w:gridCol w:w="293"/>
        <w:gridCol w:w="2799"/>
        <w:gridCol w:w="2721"/>
        <w:gridCol w:w="2732"/>
        <w:gridCol w:w="301"/>
        <w:gridCol w:w="301"/>
        <w:gridCol w:w="441"/>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Item</w:t>
            </w:r>
          </w:p>
        </w:tc>
        <w:tc>
          <w:tcPr>
            <w:tcW w:w="8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 I - FINANCIAL INFORMATION</w:t>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8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19">
              <w:r>
                <w:rPr>
                  <w:rStyle w:val="InternetLink"/>
                  <w:rFonts w:ascii="Times New Roman;serif" w:hAnsi="Times New Roman;serif"/>
                  <w:b w:val="false"/>
                  <w:strike w:val="false"/>
                  <w:dstrike w:val="false"/>
                  <w:color w:val="0000FF"/>
                  <w:sz w:val="18"/>
                  <w:u w:val="none"/>
                  <w:effect w:val="none"/>
                </w:rPr>
                <w:t>Condensed Consolidated Statements of Income (Loss) (Unaudited)</w:t>
              </w:r>
            </w:hyperlink>
            <w:r>
              <w:rPr>
                <w:color w:val="000000"/>
              </w:rPr>
              <w:t xml:space="preserve"> </w:t>
            </w:r>
            <w:r>
              <w:rPr>
                <w:rFonts w:ascii="Times New Roman;serif" w:hAnsi="Times New Roman;serif"/>
                <w:b w:val="false"/>
                <w:color w:val="000000"/>
                <w:sz w:val="18"/>
              </w:rPr>
              <w:t>for the three and six months ended June 27, 2026 and June 28, 2025</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9">
              <w:r>
                <w:rPr>
                  <w:rStyle w:val="InternetLink"/>
                  <w:rFonts w:ascii="Times New Roman;serif" w:hAnsi="Times New Roman;serif"/>
                  <w:b w:val="false"/>
                  <w:color w:val="0000FF"/>
                  <w:sz w:val="18"/>
                  <w:u w:val="single"/>
                </w:rPr>
                <w:t>3</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22">
              <w:r>
                <w:rPr>
                  <w:rStyle w:val="InternetLink"/>
                  <w:rFonts w:ascii="Times New Roman;serif" w:hAnsi="Times New Roman;serif"/>
                  <w:b w:val="false"/>
                  <w:strike w:val="false"/>
                  <w:dstrike w:val="false"/>
                  <w:color w:val="000080"/>
                  <w:sz w:val="18"/>
                  <w:u w:val="single"/>
                  <w:effect w:val="none"/>
                </w:rPr>
                <w:t>Condensed Consolidated Statements of Comprehensive Income (Loss)</w:t>
              </w:r>
            </w:hyperlink>
            <w:hyperlink w:anchor="ibba540af639c459e983a921bbcaf5e0e_22">
              <w:r>
                <w:rPr>
                  <w:rStyle w:val="InternetLink"/>
                  <w:rFonts w:ascii="Times New Roman;serif" w:hAnsi="Times New Roman;serif"/>
                  <w:b w:val="false"/>
                  <w:strike w:val="false"/>
                  <w:dstrike w:val="false"/>
                  <w:color w:val="000080"/>
                  <w:sz w:val="18"/>
                  <w:u w:val="single"/>
                  <w:effect w:val="none"/>
                </w:rPr>
                <w:t xml:space="preserve"> (Unaudited)</w:t>
              </w:r>
            </w:hyperlink>
            <w:r>
              <w:rPr>
                <w:color w:val="000000"/>
              </w:rPr>
              <w:t xml:space="preserve"> </w:t>
            </w:r>
            <w:r>
              <w:rPr>
                <w:rFonts w:ascii="Times New Roman;serif" w:hAnsi="Times New Roman;serif"/>
                <w:b w:val="false"/>
                <w:color w:val="000000"/>
                <w:sz w:val="18"/>
              </w:rPr>
              <w:t>for the three and six months ended June 27, 2026 and June 28, 2025</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22">
              <w:r>
                <w:rPr>
                  <w:rStyle w:val="InternetLink"/>
                  <w:rFonts w:ascii="Times New Roman;serif" w:hAnsi="Times New Roman;serif"/>
                  <w:b w:val="false"/>
                  <w:color w:val="0000FF"/>
                  <w:sz w:val="18"/>
                  <w:u w:val="single"/>
                </w:rPr>
                <w:t>4</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25">
              <w:r>
                <w:rPr>
                  <w:rStyle w:val="InternetLink"/>
                  <w:rFonts w:ascii="Times New Roman;serif" w:hAnsi="Times New Roman;serif"/>
                  <w:b w:val="false"/>
                  <w:strike w:val="false"/>
                  <w:dstrike w:val="false"/>
                  <w:color w:val="0000FF"/>
                  <w:sz w:val="18"/>
                  <w:u w:val="none"/>
                  <w:effect w:val="none"/>
                </w:rPr>
                <w:t>Condensed Consolidated Balance Sheets (Unaudited)</w:t>
              </w:r>
            </w:hyperlink>
            <w:r>
              <w:rPr>
                <w:color w:val="000000"/>
              </w:rPr>
              <w:t xml:space="preserve"> </w:t>
            </w:r>
            <w:r>
              <w:rPr>
                <w:rFonts w:ascii="Times New Roman;serif" w:hAnsi="Times New Roman;serif"/>
                <w:b w:val="false"/>
                <w:color w:val="000000"/>
                <w:sz w:val="18"/>
              </w:rPr>
              <w:t>as of June 27, 2026 and December 27, 2025</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25">
              <w:r>
                <w:rPr>
                  <w:rStyle w:val="InternetLink"/>
                  <w:rFonts w:ascii="Times New Roman;serif" w:hAnsi="Times New Roman;serif"/>
                  <w:b w:val="false"/>
                  <w:color w:val="0000FF"/>
                  <w:sz w:val="18"/>
                  <w:u w:val="single"/>
                </w:rPr>
                <w:t>5</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28">
              <w:r>
                <w:rPr>
                  <w:rStyle w:val="InternetLink"/>
                  <w:rFonts w:ascii="Times New Roman;serif" w:hAnsi="Times New Roman;serif"/>
                  <w:b w:val="false"/>
                  <w:strike w:val="false"/>
                  <w:dstrike w:val="false"/>
                  <w:color w:val="0000FF"/>
                  <w:sz w:val="18"/>
                  <w:u w:val="none"/>
                  <w:effect w:val="none"/>
                </w:rPr>
                <w:t>Condensed Consolidated Statements of Cash Flows (Unaudited)</w:t>
              </w:r>
            </w:hyperlink>
            <w:r>
              <w:rPr>
                <w:color w:val="000000"/>
              </w:rPr>
              <w:t xml:space="preserve"> </w:t>
            </w:r>
            <w:r>
              <w:rPr>
                <w:rFonts w:ascii="Times New Roman;serif" w:hAnsi="Times New Roman;serif"/>
                <w:b w:val="false"/>
                <w:color w:val="000000"/>
                <w:sz w:val="18"/>
              </w:rPr>
              <w:t>for the six months ended June 27, 2026 and June 28, 2025</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28">
              <w:r>
                <w:rPr>
                  <w:rStyle w:val="InternetLink"/>
                  <w:rFonts w:ascii="Times New Roman;serif" w:hAnsi="Times New Roman;serif"/>
                  <w:b w:val="false"/>
                  <w:color w:val="0000FF"/>
                  <w:sz w:val="18"/>
                  <w:u w:val="single"/>
                </w:rPr>
                <w:t>6</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31">
              <w:r>
                <w:rPr>
                  <w:rStyle w:val="InternetLink"/>
                  <w:rFonts w:ascii="Times New Roman;serif" w:hAnsi="Times New Roman;serif"/>
                  <w:b w:val="false"/>
                  <w:strike w:val="false"/>
                  <w:dstrike w:val="false"/>
                  <w:color w:val="0000FF"/>
                  <w:sz w:val="18"/>
                  <w:u w:val="none"/>
                  <w:effect w:val="none"/>
                </w:rPr>
                <w:t>Condensed Consolidated Statements of Changes in Equity and Redeemable Noncontrolling Interests (Unaudited)</w:t>
              </w:r>
            </w:hyperlink>
            <w:r>
              <w:rPr>
                <w:color w:val="000000"/>
              </w:rPr>
              <w:t xml:space="preserve"> </w:t>
            </w:r>
            <w:r>
              <w:rPr>
                <w:rFonts w:ascii="Times New Roman;serif" w:hAnsi="Times New Roman;serif"/>
                <w:b w:val="false"/>
                <w:color w:val="000000"/>
                <w:sz w:val="18"/>
              </w:rPr>
              <w:t>for</w:t>
            </w:r>
          </w:p>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the three and six months ended June 27, 2026 and June 28, 2025</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31">
              <w:r>
                <w:rPr>
                  <w:rStyle w:val="InternetLink"/>
                  <w:rFonts w:ascii="Times New Roman;serif" w:hAnsi="Times New Roman;serif"/>
                  <w:b w:val="false"/>
                  <w:color w:val="0000FF"/>
                  <w:sz w:val="18"/>
                  <w:u w:val="single"/>
                </w:rPr>
                <w:t>7</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34">
              <w:r>
                <w:rPr>
                  <w:rStyle w:val="InternetLink"/>
                  <w:rFonts w:ascii="Times New Roman;serif" w:hAnsi="Times New Roman;serif"/>
                  <w:b w:val="false"/>
                  <w:strike w:val="false"/>
                  <w:dstrike w:val="false"/>
                  <w:color w:val="0000FF"/>
                  <w:sz w:val="18"/>
                  <w:u w:val="none"/>
                  <w:effect w:val="none"/>
                </w:rPr>
                <w:t>Notes to Unaudited Condensed Consolidated Financial Statements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34">
              <w:r>
                <w:rPr>
                  <w:rStyle w:val="InternetLink"/>
                  <w:rFonts w:ascii="Times New Roman;serif" w:hAnsi="Times New Roman;serif"/>
                  <w:b w:val="false"/>
                  <w:color w:val="0000FF"/>
                  <w:sz w:val="18"/>
                  <w:u w:val="single"/>
                </w:rPr>
                <w:t>9</w:t>
              </w:r>
            </w:hyperlink>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a540af639c459e983a921bbcaf5e0e_103">
              <w:r>
                <w:rPr>
                  <w:rStyle w:val="InternetLink"/>
                  <w:rFonts w:ascii="Times New Roman;serif" w:hAnsi="Times New Roman;serif"/>
                  <w:b w:val="false"/>
                  <w:strike w:val="false"/>
                  <w:dstrike w:val="false"/>
                  <w:color w:val="0000FF"/>
                  <w:sz w:val="18"/>
                  <w:u w:val="none"/>
                  <w:effect w:val="none"/>
                </w:rPr>
                <w:t>Management’s Discussion and Analysis of Financial Condition and Results of Operations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03">
              <w:r>
                <w:rPr>
                  <w:rStyle w:val="InternetLink"/>
                  <w:rFonts w:ascii="Times New Roman;serif" w:hAnsi="Times New Roman;serif"/>
                  <w:b w:val="false"/>
                  <w:color w:val="0000FF"/>
                  <w:sz w:val="18"/>
                  <w:u w:val="single"/>
                </w:rPr>
                <w:t>29</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106">
              <w:r>
                <w:rPr>
                  <w:rStyle w:val="InternetLink"/>
                  <w:rFonts w:ascii="Times New Roman;serif" w:hAnsi="Times New Roman;serif"/>
                  <w:b w:val="false"/>
                  <w:strike w:val="false"/>
                  <w:dstrike w:val="false"/>
                  <w:color w:val="0000FF"/>
                  <w:sz w:val="18"/>
                  <w:u w:val="none"/>
                  <w:effect w:val="none"/>
                </w:rPr>
                <w:t>Overview</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06">
              <w:r>
                <w:rPr>
                  <w:rStyle w:val="InternetLink"/>
                  <w:rFonts w:ascii="Times New Roman;serif" w:hAnsi="Times New Roman;serif"/>
                  <w:b w:val="false"/>
                  <w:color w:val="0000FF"/>
                  <w:sz w:val="18"/>
                  <w:u w:val="single"/>
                </w:rPr>
                <w:t>29</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112">
              <w:r>
                <w:rPr>
                  <w:rStyle w:val="InternetLink"/>
                  <w:rFonts w:ascii="Times New Roman;serif" w:hAnsi="Times New Roman;serif"/>
                  <w:b w:val="false"/>
                  <w:strike w:val="false"/>
                  <w:dstrike w:val="false"/>
                  <w:color w:val="0000FF"/>
                  <w:sz w:val="18"/>
                  <w:u w:val="none"/>
                  <w:effect w:val="none"/>
                </w:rPr>
                <w:t>Results of Operations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12">
              <w:r>
                <w:rPr>
                  <w:rStyle w:val="InternetLink"/>
                  <w:rFonts w:ascii="Times New Roman;serif" w:hAnsi="Times New Roman;serif"/>
                  <w:b w:val="false"/>
                  <w:color w:val="0000FF"/>
                  <w:sz w:val="18"/>
                  <w:u w:val="single"/>
                </w:rPr>
                <w:t>32</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142">
              <w:r>
                <w:rPr>
                  <w:rStyle w:val="InternetLink"/>
                  <w:rFonts w:ascii="Times New Roman;serif" w:hAnsi="Times New Roman;serif"/>
                  <w:b w:val="false"/>
                  <w:strike w:val="false"/>
                  <w:dstrike w:val="false"/>
                  <w:color w:val="0000FF"/>
                  <w:sz w:val="18"/>
                  <w:u w:val="none"/>
                  <w:effect w:val="none"/>
                </w:rPr>
                <w:t>Liquidity and Capital Resources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42">
              <w:r>
                <w:rPr>
                  <w:rStyle w:val="InternetLink"/>
                  <w:rFonts w:ascii="Times New Roman;serif" w:hAnsi="Times New Roman;serif"/>
                  <w:b w:val="false"/>
                  <w:color w:val="0000FF"/>
                  <w:sz w:val="18"/>
                  <w:u w:val="single"/>
                </w:rPr>
                <w:t>39</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145">
              <w:r>
                <w:rPr>
                  <w:rStyle w:val="InternetLink"/>
                  <w:rFonts w:ascii="Times New Roman;serif" w:hAnsi="Times New Roman;serif"/>
                  <w:b w:val="false"/>
                  <w:strike w:val="false"/>
                  <w:dstrike w:val="false"/>
                  <w:color w:val="0000FF"/>
                  <w:sz w:val="18"/>
                  <w:u w:val="none"/>
                  <w:effect w:val="none"/>
                </w:rPr>
                <w:t>Critical Accounting Policies and Estimates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45">
              <w:r>
                <w:rPr>
                  <w:rStyle w:val="InternetLink"/>
                  <w:rFonts w:ascii="Times New Roman;serif" w:hAnsi="Times New Roman;serif"/>
                  <w:b w:val="false"/>
                  <w:color w:val="0000FF"/>
                  <w:sz w:val="18"/>
                  <w:u w:val="single"/>
                </w:rPr>
                <w:t>41</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bba540af639c459e983a921bbcaf5e0e_148">
              <w:r>
                <w:rPr>
                  <w:rStyle w:val="InternetLink"/>
                  <w:rFonts w:ascii="Times New Roman;serif" w:hAnsi="Times New Roman;serif"/>
                  <w:b w:val="false"/>
                  <w:strike w:val="false"/>
                  <w:dstrike w:val="false"/>
                  <w:color w:val="0000FF"/>
                  <w:sz w:val="18"/>
                  <w:u w:val="none"/>
                  <w:effect w:val="none"/>
                </w:rPr>
                <w:t>Recent Accounting Pronouncements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48">
              <w:r>
                <w:rPr>
                  <w:rStyle w:val="InternetLink"/>
                  <w:rFonts w:ascii="Times New Roman;serif" w:hAnsi="Times New Roman;serif"/>
                  <w:b w:val="false"/>
                  <w:color w:val="0000FF"/>
                  <w:sz w:val="18"/>
                  <w:u w:val="single"/>
                </w:rPr>
                <w:t>41</w:t>
              </w:r>
            </w:hyperlink>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a540af639c459e983a921bbcaf5e0e_151">
              <w:r>
                <w:rPr>
                  <w:rStyle w:val="InternetLink"/>
                  <w:rFonts w:ascii="Times New Roman;serif" w:hAnsi="Times New Roman;serif"/>
                  <w:b w:val="false"/>
                  <w:strike w:val="false"/>
                  <w:dstrike w:val="false"/>
                  <w:color w:val="0000FF"/>
                  <w:sz w:val="18"/>
                  <w:u w:val="none"/>
                  <w:effect w:val="none"/>
                </w:rPr>
                <w:t>Quantitative and Qualitative Disclosure About Market Risk</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51">
              <w:r>
                <w:rPr>
                  <w:rStyle w:val="InternetLink"/>
                  <w:rFonts w:ascii="Times New Roman;serif" w:hAnsi="Times New Roman;serif"/>
                  <w:b w:val="false"/>
                  <w:color w:val="0000FF"/>
                  <w:sz w:val="18"/>
                  <w:u w:val="single"/>
                </w:rPr>
                <w:t>42</w:t>
              </w:r>
            </w:hyperlink>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8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a540af639c459e983a921bbcaf5e0e_154">
              <w:r>
                <w:rPr>
                  <w:rStyle w:val="InternetLink"/>
                  <w:rFonts w:ascii="Times New Roman;serif" w:hAnsi="Times New Roman;serif"/>
                  <w:b w:val="false"/>
                  <w:strike w:val="false"/>
                  <w:dstrike w:val="false"/>
                  <w:color w:val="0000FF"/>
                  <w:sz w:val="18"/>
                  <w:u w:val="none"/>
                  <w:effect w:val="none"/>
                </w:rPr>
                <w:t>Controls and Procedures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54">
              <w:r>
                <w:rPr>
                  <w:rStyle w:val="InternetLink"/>
                  <w:rFonts w:ascii="Times New Roman;serif" w:hAnsi="Times New Roman;serif"/>
                  <w:b w:val="false"/>
                  <w:color w:val="0000FF"/>
                  <w:sz w:val="18"/>
                  <w:u w:val="single"/>
                </w:rPr>
                <w:t>42</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 II - OTHER INFORMATION</w:t>
            </w:r>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8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540af639c459e983a921bbcaf5e0e_160">
              <w:r>
                <w:rPr>
                  <w:rStyle w:val="InternetLink"/>
                  <w:rFonts w:ascii="Times New Roman;serif" w:hAnsi="Times New Roman;serif"/>
                  <w:b w:val="false"/>
                  <w:color w:val="0000FF"/>
                  <w:sz w:val="18"/>
                  <w:u w:val="single"/>
                </w:rPr>
                <w:t>Legal Proceedings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60">
              <w:r>
                <w:rPr>
                  <w:rStyle w:val="InternetLink"/>
                  <w:rFonts w:ascii="Times New Roman;serif" w:hAnsi="Times New Roman;serif"/>
                  <w:b w:val="false"/>
                  <w:color w:val="0000FF"/>
                  <w:sz w:val="18"/>
                  <w:u w:val="single"/>
                </w:rPr>
                <w:t>43</w:t>
              </w:r>
            </w:hyperlink>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8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540af639c459e983a921bbcaf5e0e_163">
              <w:r>
                <w:rPr>
                  <w:rStyle w:val="InternetLink"/>
                  <w:rFonts w:ascii="Times New Roman;serif" w:hAnsi="Times New Roman;serif"/>
                  <w:b w:val="false"/>
                  <w:color w:val="0000FF"/>
                  <w:sz w:val="18"/>
                  <w:u w:val="single"/>
                </w:rPr>
                <w:t>Risk Factors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63">
              <w:r>
                <w:rPr>
                  <w:rStyle w:val="InternetLink"/>
                  <w:rFonts w:ascii="Times New Roman;serif" w:hAnsi="Times New Roman;serif"/>
                  <w:b w:val="false"/>
                  <w:color w:val="0000FF"/>
                  <w:sz w:val="18"/>
                  <w:u w:val="single"/>
                </w:rPr>
                <w:t>43</w:t>
              </w:r>
            </w:hyperlink>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8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540af639c459e983a921bbcaf5e0e_166">
              <w:r>
                <w:rPr>
                  <w:rStyle w:val="InternetLink"/>
                  <w:rFonts w:ascii="Times New Roman;serif" w:hAnsi="Times New Roman;serif"/>
                  <w:b w:val="false"/>
                  <w:color w:val="0000FF"/>
                  <w:sz w:val="18"/>
                  <w:u w:val="single"/>
                </w:rPr>
                <w:t>Unregistered Sales of Equity Securities and Use of Proceeds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66">
              <w:r>
                <w:rPr>
                  <w:rStyle w:val="InternetLink"/>
                  <w:rFonts w:ascii="Times New Roman;serif" w:hAnsi="Times New Roman;serif"/>
                  <w:b w:val="false"/>
                  <w:color w:val="0000FF"/>
                  <w:sz w:val="18"/>
                  <w:u w:val="single"/>
                </w:rPr>
                <w:t>44</w:t>
              </w:r>
            </w:hyperlink>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8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540af639c459e983a921bbcaf5e0e_169">
              <w:r>
                <w:rPr>
                  <w:rStyle w:val="InternetLink"/>
                  <w:rFonts w:ascii="Times New Roman;serif" w:hAnsi="Times New Roman;serif"/>
                  <w:b w:val="false"/>
                  <w:color w:val="0000FF"/>
                  <w:sz w:val="18"/>
                  <w:u w:val="single"/>
                </w:rPr>
                <w:t>Other Information</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69">
              <w:r>
                <w:rPr>
                  <w:rStyle w:val="InternetLink"/>
                  <w:rFonts w:ascii="Times New Roman;serif" w:hAnsi="Times New Roman;serif"/>
                  <w:b w:val="false"/>
                  <w:color w:val="0000FF"/>
                  <w:sz w:val="18"/>
                  <w:u w:val="single"/>
                </w:rPr>
                <w:t>44</w:t>
              </w:r>
            </w:hyperlink>
          </w:p>
        </w:tc>
      </w:tr>
      <w:tr>
        <w:trPr/>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8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a540af639c459e983a921bbcaf5e0e_175">
              <w:r>
                <w:rPr>
                  <w:rStyle w:val="InternetLink"/>
                  <w:rFonts w:ascii="Times New Roman;serif" w:hAnsi="Times New Roman;serif"/>
                  <w:b w:val="false"/>
                  <w:color w:val="0000FF"/>
                  <w:sz w:val="18"/>
                  <w:u w:val="single"/>
                </w:rPr>
                <w:t>Exhibits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75">
              <w:r>
                <w:rPr>
                  <w:rStyle w:val="InternetLink"/>
                  <w:rFonts w:ascii="Times New Roman;serif" w:hAnsi="Times New Roman;serif"/>
                  <w:b w:val="false"/>
                  <w:color w:val="0000FF"/>
                  <w:sz w:val="18"/>
                  <w:u w:val="single"/>
                </w:rPr>
                <w:t>45</w:t>
              </w:r>
            </w:hyperlink>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ba540af639c459e983a921bbcaf5e0e_178">
              <w:r>
                <w:rPr>
                  <w:rStyle w:val="InternetLink"/>
                  <w:rFonts w:ascii="Times New Roman;serif" w:hAnsi="Times New Roman;serif"/>
                  <w:b w:val="false"/>
                  <w:color w:val="0000FF"/>
                  <w:sz w:val="18"/>
                  <w:u w:val="single"/>
                </w:rPr>
                <w:t>Signatures</w:t>
              </w:r>
            </w:hyperlink>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a540af639c459e983a921bbcaf5e0e_178">
              <w:r>
                <w:rPr>
                  <w:rStyle w:val="InternetLink"/>
                  <w:rFonts w:ascii="Times New Roman;serif" w:hAnsi="Times New Roman;serif"/>
                  <w:b w:val="false"/>
                  <w:color w:val="0000FF"/>
                  <w:sz w:val="18"/>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Special Note on Factors Affecting Future Results</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example, we may use forward-looking statements when addressing topics such as: our expectations regarding the availability of NHPs and our ability to diversify our non-human primate (NHP) supply chain; the outcome of (1) the putative securities class action lawsuit filed against us and certain current/former officers on May 19, 2023, (2) the derivative lawsuit filed against members of the Board of Directors and certain current/former officers on November 8, 2023, and (3) the derivative lawsuit filed against certain current/former members of the Board of Directors and certain current/former officers on August 2, 2024; the timing and impact of the development and implementation of enhanced procedures to reasonably ensure that non-human primates we source are purpose-bred; changes and uncertainties in the global economy and financial markets; client demand, particularly future demand for drug discovery and development products and services, including the outsourcing of these services; our expectations with respect to our ability to meet financial targets; the Company’s plans or prospects, expectations and long-term goals associated with our business; the Company's expectations concerning future financial and operating performance, including the Company's commitment to, and ability to create long-term value for shareholders and to successfully execute on the Board of Directors’ comprehensive strategic review and evaluation of Charles River’s business and prospects; our expectations regarding stock repurchases, including the number of shares to be repurchased, expected timing and duration, the amount of capital that may be expended and the treatment of repurchased shares; our ability to successfully execute our business strategy; our ability to timely build infrastructure to satisfy capacity needs and support business growth; our ability to fund our operations for the foreseeable future; the impact of unauthorized access into our information systems, including the timing and effectiveness of any enhanced security and monitoring;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and the impact of those conditions, including on our allowances for credit losses; our strategic relationships with leading pharmaceutical and biotechnology companies, venture capital investments, and opportunities for future similar arrangements; our cost structure; our expectations regarding our acquisitions and divestitures, including their impact, terms, projected timing, pricing, and planned funding; our expectations with respect to revenue growth and operating synergies (including the impact of specific actions intended to cause related improvements); the nature, timing and impact of specific actions intended to improve overall operating efficiencies and profitability (and our ability to accommodate future demand with our infrastructure), including actions to optimize our global footprint, and gains and losses attributable to businesses we plan to close, consolidate, divest or repurpose and the impact of operations and restructuring actions (including as estimated on an annualized basis); our expectations with respect to study cancellation rates and the impact of such cancellations; our expectations with respect to tax rates and benefits, including the impact of tax legislation on our operations;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our liquidity; the impact of newly issued accounting pronouncements on our consolidated financial statements and related disclosures; and the impact of litigation, including our ability to successfully defend litigation against us. In addition, these statements include the impact of economic and market conditions on us and our clients, the effects of our cost-saving actions and the steps to optimize returns to shareholders on an effective and timely basis; and our ability to withstand the current market conditions.</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our Annual Report on Form 10-K for the year ended December 27, 2025 (2025 Form 10-K), under the sections entitled “Our Strategy,” “Risk Factors,” “Management’s Discussion and Analysis of Financial Condition and Results of Operations,” in this Quarterly Report on Form 10-Q, under the sections entitled “Management’s Discussion and Analysis of Financial Condition and Results of Operations” and “Risk Factors,” in our press releases, and in our other filings with the Securities and Exchange Commission. Except to the extent required by applicable law, we do not assume any obligation to publicly update or revise any forward-looking statements, whether as a result of new information, future events, or risks. New information, future events, or risks may cause the forward-looking events we discuss in this report not to occur.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733"/>
        <w:gridCol w:w="1429"/>
        <w:gridCol w:w="1437"/>
        <w:gridCol w:w="209"/>
        <w:gridCol w:w="787"/>
        <w:gridCol w:w="115"/>
        <w:gridCol w:w="109"/>
        <w:gridCol w:w="109"/>
        <w:gridCol w:w="109"/>
        <w:gridCol w:w="209"/>
        <w:gridCol w:w="787"/>
        <w:gridCol w:w="115"/>
        <w:gridCol w:w="109"/>
        <w:gridCol w:w="109"/>
        <w:gridCol w:w="109"/>
        <w:gridCol w:w="196"/>
        <w:gridCol w:w="871"/>
        <w:gridCol w:w="109"/>
        <w:gridCol w:w="109"/>
        <w:gridCol w:w="109"/>
        <w:gridCol w:w="109"/>
        <w:gridCol w:w="196"/>
        <w:gridCol w:w="871"/>
        <w:gridCol w:w="160"/>
      </w:tblGrid>
      <w:tr>
        <w:trPr/>
        <w:tc>
          <w:tcPr>
            <w:tcW w:w="173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808,287 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840,836 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1,638,759 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195,791 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191,299 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377,544 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1,004,078 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1,032,135 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1,999,908 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2,016,303 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services provided (excluding amortization of intangible assets) </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552,007 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584,876 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1,162,304 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 (excluding amortization of intangible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191,549 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369,348 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100,134 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174,803 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53,170 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71,418 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107,396 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52,693 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78,571 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common share</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863"/>
        <w:gridCol w:w="1622"/>
        <w:gridCol w:w="1521"/>
        <w:gridCol w:w="212"/>
        <w:gridCol w:w="651"/>
        <w:gridCol w:w="118"/>
        <w:gridCol w:w="109"/>
        <w:gridCol w:w="109"/>
        <w:gridCol w:w="109"/>
        <w:gridCol w:w="202"/>
        <w:gridCol w:w="761"/>
        <w:gridCol w:w="112"/>
        <w:gridCol w:w="109"/>
        <w:gridCol w:w="109"/>
        <w:gridCol w:w="109"/>
        <w:gridCol w:w="204"/>
        <w:gridCol w:w="716"/>
        <w:gridCol w:w="113"/>
        <w:gridCol w:w="109"/>
        <w:gridCol w:w="109"/>
        <w:gridCol w:w="109"/>
        <w:gridCol w:w="202"/>
        <w:gridCol w:w="760"/>
        <w:gridCol w:w="167"/>
      </w:tblGrid>
      <w:tr>
        <w:trPr/>
        <w:tc>
          <w:tcPr>
            <w:tcW w:w="186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52,693 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(15,562)</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78,571 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181,601 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loss, settlement losses, and prior service benefit included in total cost for pension and other post-retirement benefit plans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income taxes</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(32,909)</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182,466 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Income tax expense (benefit) related to items of other comprehensive income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net of income taxes</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153,999 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(40,756)</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231,118 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related to noncontrolling interests, net of income taxes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Charles River Laboratories International, Inc., net of income taxes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(6,429)</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151,105 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(40,531)</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228,673 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759"/>
        <w:gridCol w:w="2236"/>
        <w:gridCol w:w="2228"/>
        <w:gridCol w:w="196"/>
        <w:gridCol w:w="871"/>
        <w:gridCol w:w="109"/>
        <w:gridCol w:w="109"/>
        <w:gridCol w:w="109"/>
        <w:gridCol w:w="109"/>
        <w:gridCol w:w="220"/>
        <w:gridCol w:w="979"/>
        <w:gridCol w:w="122"/>
        <w:gridCol w:w="158"/>
      </w:tblGrid>
      <w:tr>
        <w:trPr/>
        <w:tc>
          <w:tcPr>
            <w:tcW w:w="275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192,025 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213,770 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and contract assets, net of allowances for credit losses of $8,715 and $10,463,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711,755 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708,856 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346,260 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299,103 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Prepaid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100,409 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96,108 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178,657 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129,212 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1,529,106 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1,447,049 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1,494,914 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1,655,219 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Venture capital and strategic equity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3,076,851 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2,764,253 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253,174 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339,995 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53,827 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67,334 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587,556 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293,185 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7,532,145 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7,135,422 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Redeemable Noncontrolling Interests and Equity</w:t>
            </w:r>
          </w:p>
        </w:tc>
        <w:tc>
          <w:tcPr>
            <w:tcW w:w="117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140,983 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148,800 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187,835 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268,854 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203,035 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210,418 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380,101 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270,085 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222,792 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222,158 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1,134,746 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1,120,315 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and finance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2,619,985 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2,136,360 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78,668 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95,203 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402,511 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138,302 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4,643,618 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3,924,228 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2, 12, 14, and 16)</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42,537 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41,263 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20,000 shares authorized; no shares issued and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120,000 shares authorized; 49,550 shares issued and 47,728 shares outstanding as of June 27, 2026, and 49,217 shares issued and outstanding as of December 27,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1,986,023 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1,947,301 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1,372,295 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1,388,620 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1,822 and zero shares, as of June 27, 2026 and December 27,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(323,189)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(195,989)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(171,783)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Total Charles River Laboratories International, Inc.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2,839,636 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3,164,630 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Nonredeemable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5,301 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2,845,990 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3,169,931 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noncontrolling interests and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7,532,145 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7,135,422 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861" w:type="dxa"/>
        <w:jc w:val="center"/>
        <w:tblInd w:w="0" w:type="dxa"/>
        <w:tblLayout w:type="fixed"/>
        <w:tblCellMar>
          <w:top w:w="28" w:type="dxa"/>
          <w:left w:w="28" w:type="dxa"/>
          <w:bottom w:w="28" w:type="dxa"/>
          <w:right w:w="28" w:type="dxa"/>
        </w:tblCellMar>
      </w:tblPr>
      <w:tblGrid>
        <w:gridCol w:w="2260"/>
        <w:gridCol w:w="1983"/>
        <w:gridCol w:w="1996"/>
        <w:gridCol w:w="212"/>
        <w:gridCol w:w="796"/>
        <w:gridCol w:w="117"/>
        <w:gridCol w:w="109"/>
        <w:gridCol w:w="109"/>
        <w:gridCol w:w="109"/>
        <w:gridCol w:w="211"/>
        <w:gridCol w:w="793"/>
        <w:gridCol w:w="166"/>
      </w:tblGrid>
      <w:tr>
        <w:trPr/>
        <w:tc>
          <w:tcPr>
            <w:tcW w:w="2260"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operating activities</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 impairments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 down of inventories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and impairments on venture capital and strategic equity investments,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and contract assets,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 deposits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220,802 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376,300 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investing activities</w:t>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and assets, net of cash acquired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 and contributions to venture capital investments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businesses and assets,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(379,748)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(82,818)</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financing activities</w:t>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revolving credit facility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1,265,258 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963,363 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 revolving credit facility, and finance lease obligations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contingent consideration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remaining equity interests of other redeemable noncontrolling interest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183,063 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(332,246)</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(20,830)</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240,581 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1"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4232" w:type="dxa"/>
        <w:jc w:val="left"/>
        <w:tblInd w:w="0" w:type="dxa"/>
        <w:tblLayout w:type="fixed"/>
        <w:tblCellMar>
          <w:top w:w="28" w:type="dxa"/>
          <w:left w:w="28" w:type="dxa"/>
          <w:bottom w:w="28" w:type="dxa"/>
          <w:right w:w="28" w:type="dxa"/>
        </w:tblCellMar>
      </w:tblPr>
      <w:tblGrid>
        <w:gridCol w:w="469"/>
        <w:gridCol w:w="268"/>
        <w:gridCol w:w="269"/>
        <w:gridCol w:w="214"/>
        <w:gridCol w:w="677"/>
        <w:gridCol w:w="130"/>
        <w:gridCol w:w="285"/>
        <w:gridCol w:w="286"/>
        <w:gridCol w:w="171"/>
        <w:gridCol w:w="109"/>
        <w:gridCol w:w="109"/>
        <w:gridCol w:w="109"/>
        <w:gridCol w:w="181"/>
        <w:gridCol w:w="391"/>
        <w:gridCol w:w="109"/>
        <w:gridCol w:w="109"/>
        <w:gridCol w:w="109"/>
        <w:gridCol w:w="109"/>
        <w:gridCol w:w="181"/>
        <w:gridCol w:w="751"/>
        <w:gridCol w:w="109"/>
        <w:gridCol w:w="109"/>
        <w:gridCol w:w="109"/>
        <w:gridCol w:w="109"/>
        <w:gridCol w:w="181"/>
        <w:gridCol w:w="751"/>
        <w:gridCol w:w="109"/>
        <w:gridCol w:w="109"/>
        <w:gridCol w:w="109"/>
        <w:gridCol w:w="109"/>
        <w:gridCol w:w="200"/>
        <w:gridCol w:w="699"/>
        <w:gridCol w:w="122"/>
        <w:gridCol w:w="109"/>
        <w:gridCol w:w="109"/>
        <w:gridCol w:w="109"/>
        <w:gridCol w:w="248"/>
        <w:gridCol w:w="248"/>
        <w:gridCol w:w="171"/>
        <w:gridCol w:w="109"/>
        <w:gridCol w:w="109"/>
        <w:gridCol w:w="109"/>
        <w:gridCol w:w="181"/>
        <w:gridCol w:w="631"/>
        <w:gridCol w:w="109"/>
        <w:gridCol w:w="109"/>
        <w:gridCol w:w="109"/>
        <w:gridCol w:w="109"/>
        <w:gridCol w:w="181"/>
        <w:gridCol w:w="751"/>
        <w:gridCol w:w="109"/>
        <w:gridCol w:w="109"/>
        <w:gridCol w:w="109"/>
        <w:gridCol w:w="109"/>
        <w:gridCol w:w="235"/>
        <w:gridCol w:w="644"/>
        <w:gridCol w:w="142"/>
        <w:gridCol w:w="109"/>
        <w:gridCol w:w="109"/>
        <w:gridCol w:w="109"/>
        <w:gridCol w:w="181"/>
        <w:gridCol w:w="751"/>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1750" w:type="dxa"/>
            <w:gridSpan w:val="9"/>
            <w:tcBorders>
              <w:left w:val="single" w:sz="8" w:space="0" w:color="000000"/>
            </w:tcBorders>
            <w:tcMar>
              <w:top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Total Charles River Laboratories,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27, 2025</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41,263</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49,217</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1,947,301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1,388,620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(171,783)</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3,164,630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5,301</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3,169,931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(477)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518 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(14,325)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tax</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(434)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(19,259)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(19,259)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(19,259)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 to noncontrolling interests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redeemable noncontrolling interests to redemption value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under employee compensation plans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shares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(208,285)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(208,285)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Share repurchase excise tax</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22,381 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28, 2026</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41,900</w:t>
            </w: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49,342</w:t>
            </w: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1,967,356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1,373,777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(191,042)</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1,175</w:t>
            </w: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(209,990)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2,940,594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5,819</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2,946,413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tax</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 to noncontrolling interests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redeemable noncontrolling interest to redemption value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under employee compensation plans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shares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 excise tax</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27, 2026</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42,537</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49,550</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1,986,023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1,372,295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(195,989)</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1,822</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(323,189)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2,839,636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6,354</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2,845,990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2" w:type="dxa"/>
            <w:gridSpan w:val="6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4232" w:type="dxa"/>
        <w:jc w:val="left"/>
        <w:tblInd w:w="0" w:type="dxa"/>
        <w:tblLayout w:type="fixed"/>
        <w:tblCellMar>
          <w:top w:w="28" w:type="dxa"/>
          <w:left w:w="28" w:type="dxa"/>
          <w:bottom w:w="28" w:type="dxa"/>
          <w:right w:w="28" w:type="dxa"/>
        </w:tblCellMar>
      </w:tblPr>
      <w:tblGrid>
        <w:gridCol w:w="469"/>
        <w:gridCol w:w="268"/>
        <w:gridCol w:w="269"/>
        <w:gridCol w:w="214"/>
        <w:gridCol w:w="677"/>
        <w:gridCol w:w="130"/>
        <w:gridCol w:w="285"/>
        <w:gridCol w:w="286"/>
        <w:gridCol w:w="171"/>
        <w:gridCol w:w="109"/>
        <w:gridCol w:w="109"/>
        <w:gridCol w:w="109"/>
        <w:gridCol w:w="181"/>
        <w:gridCol w:w="391"/>
        <w:gridCol w:w="109"/>
        <w:gridCol w:w="109"/>
        <w:gridCol w:w="109"/>
        <w:gridCol w:w="109"/>
        <w:gridCol w:w="181"/>
        <w:gridCol w:w="751"/>
        <w:gridCol w:w="109"/>
        <w:gridCol w:w="109"/>
        <w:gridCol w:w="109"/>
        <w:gridCol w:w="109"/>
        <w:gridCol w:w="181"/>
        <w:gridCol w:w="751"/>
        <w:gridCol w:w="109"/>
        <w:gridCol w:w="109"/>
        <w:gridCol w:w="109"/>
        <w:gridCol w:w="109"/>
        <w:gridCol w:w="200"/>
        <w:gridCol w:w="699"/>
        <w:gridCol w:w="122"/>
        <w:gridCol w:w="109"/>
        <w:gridCol w:w="109"/>
        <w:gridCol w:w="109"/>
        <w:gridCol w:w="248"/>
        <w:gridCol w:w="248"/>
        <w:gridCol w:w="171"/>
        <w:gridCol w:w="109"/>
        <w:gridCol w:w="109"/>
        <w:gridCol w:w="109"/>
        <w:gridCol w:w="181"/>
        <w:gridCol w:w="631"/>
        <w:gridCol w:w="109"/>
        <w:gridCol w:w="109"/>
        <w:gridCol w:w="109"/>
        <w:gridCol w:w="109"/>
        <w:gridCol w:w="181"/>
        <w:gridCol w:w="751"/>
        <w:gridCol w:w="109"/>
        <w:gridCol w:w="109"/>
        <w:gridCol w:w="109"/>
        <w:gridCol w:w="109"/>
        <w:gridCol w:w="235"/>
        <w:gridCol w:w="644"/>
        <w:gridCol w:w="142"/>
        <w:gridCol w:w="109"/>
        <w:gridCol w:w="109"/>
        <w:gridCol w:w="109"/>
        <w:gridCol w:w="181"/>
        <w:gridCol w:w="751"/>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1750" w:type="dxa"/>
            <w:gridSpan w:val="9"/>
            <w:tcBorders>
              <w:left w:val="single" w:sz="8" w:space="0" w:color="000000"/>
            </w:tcBorders>
            <w:tcMar>
              <w:top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Total Charles River Laboratories,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28, 2024</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41,126</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51,141</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1,966,237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1,812,100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(317,345)</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3,461,503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5,449</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3,466,952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334 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25,803 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tax</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(858)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52,099 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52,099 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52,099 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redeemable noncontrolling interests to redemption value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under employee compensation plans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shares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(353,132)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(353,132)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Share repurchase excise tax</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(3,419)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4"/>
              </w:rPr>
            </w:pPr>
            <w:r>
              <w:rPr>
                <w:rFonts w:ascii="Times New Roman;serif" w:hAnsi="Times New Roman;serif"/>
                <w:b w:val="false"/>
                <w:color w:val="000000"/>
                <w:sz w:val="14"/>
              </w:rPr>
              <w:t>13,135 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29, 2025</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41,663</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51,201</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1,978,052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1,837,569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(265,246)</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2,086</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(356,551)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3,194,336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5,783</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3,200,119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net of tax</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redeemable noncontrolling interest to redemption value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 to noncontrolling interests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under employee compensation plans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shares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28, 2025</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39,956</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51,344</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513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1,992,718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1,889,895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(166,467)</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2,136</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color w:val="000000"/>
                <w:sz w:val="14"/>
              </w:rPr>
            </w:pPr>
            <w:r>
              <w:rPr>
                <w:rFonts w:ascii="Times New Roman;serif" w:hAnsi="Times New Roman;serif"/>
                <w:b/>
                <w:color w:val="000000"/>
                <w:sz w:val="14"/>
              </w:rPr>
              <w:t>(363,338)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3,353,321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6,309</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120" w:after="283"/>
              <w:jc w:val="right"/>
              <w:rPr/>
            </w:pPr>
            <w:r>
              <w:rPr>
                <w:rFonts w:ascii="Times New Roman;serif" w:hAnsi="Times New Roman;serif"/>
                <w:b/>
                <w:color w:val="000000"/>
                <w:sz w:val="14"/>
              </w:rPr>
              <w:t>3,359,630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2" w:type="dxa"/>
            <w:gridSpan w:val="6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2" w:type="dxa"/>
            <w:gridSpan w:val="6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are unaudited and have been prepared by Charles River Laboratories International, Inc. (the Company) in accordance with accounting principles generally accepted in the United States (U.S. GAAP) and pursuant to the rules and regulations of the Securities and Exchange Commission (SEC). The year-end condensed consolidated balance sheet data was derived from the Company’s audited consolidated financial statements, but does not include all disclosures required by U.S. GAAP. These unaudited condensed consolidated financial statements should be read in conjunction with the Company’s Annual Report on Form 10-K for fiscal year 2025 as filed with the SEC on February 18, 2026. The unaudited condensed consolidated financial statements, in the opinion of management, reflect all normal and recurring adjustments necessary for a fair statement of the Company’s financial position and results of operations.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unaudited condensed consolidated financial statements in accordance with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Newly Adopted Accounting Pronouncements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(ASU) 2025-05, “Financial Instruments – Credit Losses (Topic 326) Measurement of Credit Losses for Accounts Receivables and Contract Assets.” ASU 2025-05 provides a practical expedient to assume that the current conditions as of the balance sheet date do not change for the remaining life of the asset if the expected credit losses were estimated under the reasonable and supportable approach. The ASU was effective for fiscal years beginning after December 15, 2025, and interim periods within those annual reporting periods. Early adoption was permitted, and if practical expedient is elected, the amendments in this update should be applied on a prospective basis. The Company’s adoption of this standard on a prospective basis in the three and six month periods ended June 27, 2026 did not have a significant impact on the unaudited condensed consolidated financial statements and the related disclosures.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Newly Issued Accounting Pronouncements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350 - 40) - Targeted Improvements to the Accounting for Internal-Use Software.” ASU 2025-06 improves the operability of the guidance by removing all references to software development project stages so that the guidance is neutral to different software development methods, including the methods that entities may use to develop software in the future. The ASU is effective for fiscal years beginning after December 15, 2027, and interim reporting periods within those annual reporting periods, with early adoption permitted. The amendments in this ASU may be adopted using either a prospective transition approach, a modified transition approach or a retrospective transition approach. The Company is currently evaluating the impact this new standard will have on the condensed consolidated financial statements and the related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(Subtopic 220-40)” which requires enhanced disclosure of income statement expense categories to improve transparency and provide financial statement users with more detailed information about the nature, amount and timing of expenses impacting financial performance. The ASU is effective for fiscal years beginning after December 15, 2026, and interim periods beginning after December 15, 2027, with early adoption permitted. The amendments in this ASU may be adopted using the prospective or retrospective methods. The Company is currently evaluating the impact this new standard will have on the related disclosures in the condensed consolidated financial statements.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Note 1, “Description of Business and Summary of Significant Accounting Policies” in the Company’s Annual Report on Form 10-K for fiscal year 2025 as filed with the SEC on February 18, 2026.</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attributable to noncontrolling interests in its unaudited condensed consolidated statements of income equal to the percentage of the economic or ownership interest retained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such entities by the respective noncontrolling parties. Redeemable noncontrolling interests, where the noncontrolling interest holders have the ability to require the Company to purchase the remaining interests, are classified in the mezzanine section of the unaudited condensed consolidated balance sheets, which is presented above the equity section and below liabilities. Intercompany balances and transactions are eliminated in 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results in three reportable segments: Research Models and Services (RMS), Discovery and Safety Assessment (DSA), and Manufacturing Solutions (Manufacturing).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RMS reportable segment includes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clients’ research operations (including recruitment, training, staffing, and management services) within the clients’ facilities and utilizing the Charles River Accelerator and Development Lab (CRADL™) offerings, which provide vivarium space to clients, Genetically Engineered Models and Services (GEMS), which performs contract breeding and other services associated with genetically engineered models; and Research Animal Diagnostic Services (RADS), which provides health monitoring and diagnostics services related to research models. In May 2026, the Company sold the Cell Solutions business, reported in the RMS segment, which supplied controlled, consistent, customized primary cells and blood components derived from normal and mobilized peripheral blood and bone marrow as well as cells from disease state donors.</w:t>
      </w:r>
    </w:p>
    <w:p>
      <w:pPr>
        <w:pStyle w:val="TextBody"/>
        <w:bidi w:val="0"/>
        <w:spacing w:lineRule="auto" w:line="288" w:before="120" w:after="283"/>
        <w:jc w:val="left"/>
        <w:rPr/>
      </w:pPr>
      <w:r>
        <w:rPr>
          <w:rFonts w:ascii="Times New Roman;serif" w:hAnsi="Times New Roman;serif"/>
          <w:b w:val="false"/>
          <w:color w:val="000000"/>
          <w:sz w:val="20"/>
        </w:rPr>
        <w:t xml:space="preserve">The Company’s DSA reportable segment includes discovery and safety assessment services. The Company provides regulated and non-regulated DSA services to support the discovery, development, and regulatory-required safety testing of potential new drugs, including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(non-animal),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(in research models) and </w:t>
      </w:r>
      <w:r>
        <w:rPr>
          <w:rFonts w:ascii="Times New Roman;serif" w:hAnsi="Times New Roman;serif"/>
          <w:b w:val="false"/>
          <w:i/>
          <w:color w:val="000000"/>
          <w:sz w:val="20"/>
        </w:rPr>
        <w:t>in silico</w:t>
      </w:r>
      <w:r>
        <w:rPr>
          <w:color w:val="000000"/>
        </w:rPr>
        <w:t xml:space="preserve"> </w:t>
      </w:r>
      <w:r>
        <w:rPr>
          <w:rFonts w:ascii="Times New Roman;serif" w:hAnsi="Times New Roman;serif"/>
          <w:b w:val="false"/>
          <w:color w:val="000000"/>
          <w:sz w:val="20"/>
        </w:rPr>
        <w:t>studies, laboratory support services, including bioanalytical and strategic non-clinical consulting and program management to support product development. In May 2026, the Company sold certain European Discovery Services businesses.</w:t>
      </w:r>
    </w:p>
    <w:p>
      <w:pPr>
        <w:pStyle w:val="TextBody"/>
        <w:bidi w:val="0"/>
        <w:spacing w:lineRule="auto" w:line="288" w:before="120" w:after="283"/>
        <w:jc w:val="left"/>
        <w:rPr/>
      </w:pPr>
      <w:r>
        <w:rPr>
          <w:rFonts w:ascii="Times New Roman;serif" w:hAnsi="Times New Roman;serif"/>
          <w:b w:val="false"/>
          <w:color w:val="000000"/>
          <w:sz w:val="20"/>
        </w:rPr>
        <w:t xml:space="preserve">The Company’s Manufacturing reportable segment includes Microbial Solutions, which provides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lot-release testing products, microbial detection products, and species identification services and Biologics Solutions (Biologics), which performs specialized testing of biologics (Biologics Testing Solutions). In May 2026, the Company sold the contract development and manufacturing products and services (CDMO) business, reported in the Manufacturing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2. ACQUISITIONS AND DIVESTITURES</w:t>
      </w:r>
      <w:r>
        <w:rPr>
          <w:rFonts w:ascii="Times New Roman;serif" w:hAnsi="Times New Roman;serif"/>
          <w:b w:val="false"/>
          <w:color w:val="000000"/>
          <w:sz w:val="20"/>
        </w:rPr>
        <w:t xml:space="preserve">.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Fiscal 2026 Acquisitions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PathoQuest SAS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17, 2026, the Company completed the acquisition of an additional 79% equity interest in PathoQuest SAS (PathoQuest), a provider of next-generation sequencing solutions for manufacturing quality-control testing for biopharmaceutical companies, resulting in a 100% controlling interest. The total consideration for the PathoQuest acquisition was $67.6 million, net of $0.5 million acquired cash. This amount consists of $62.3 million of cash consideration, $5.6 million representing the fair value for the 21% strategic equity interest previously owned by the Company, and an offsetting estimated post-closing adjustment for working capital of $0.3 million. The acquisition was funded through a combination of cash on hand and borrowings under the Credit Facility. PathoQuest’s results are reported within the Company’s Manufacturing reportable segment. The Company incurred transaction and integration costs in connection with the acquisition of $1.3 million and $1.9 million for the three and six months ended June 27, 2026, respectively, which was included in Selling, general and administrative expenses within the unaudited condensed consolidated statements of income (loss). Pro forma financial information as well as the disclosure of actual revenue and operating income (loss) have not been presented separately because PathoQuest financial results are not significant to the Company’s consolidated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K.F. Cambodia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January 14, 2026, the Company completed the acquisition of certain assets of K.F. Cambodia Ltd (Cambodian NHP Supplier), a leading supplier of non-human primates (NHPs) located in Cambodia. The preliminary purchase price for the Cambodian NHP Supplier was $507.3 million, consisting of $335.0 million paid at closing and $172.3 million representing the acquisition date fair value of deferred consideration, which is payable upon the satisfaction of certain post-close conditions. As of June 27, 2026, $105.0 million of deferred consideration remains to be paid which is recorded in Accrued liabilities on the unaudited condensed consolidated balance sheets. The acquisition was funded through a combination of available cash and proceeds from the Company’s Credit Facility. This business is reported as part of the Company’s DSA reportable segment for NHPs vertically integrated into the DSA supply chain and the RMS reportable segment for those NHPs sold to third party customers. The Company incurred transaction and integration costs in connection with the acquisition of $6.0 million and $12.5 million for the three and six months ended June 27, 2026, respectively, which was included in Selling, general and administrative expenses within the unaudited condensed consolidated statements of income (loss). Pro forma financial information as well as the disclosure of actual revenue and operating income (loss) have not been presented separately because the Cambodian NHP Supplier’s financial results are not significant when compared to the Company’s consolidated financial results.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Purchase Price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allocations were as follows:</w:t>
      </w:r>
    </w:p>
    <w:tbl>
      <w:tblPr>
        <w:tblW w:w="10205" w:type="dxa"/>
        <w:jc w:val="left"/>
        <w:tblInd w:w="0" w:type="dxa"/>
        <w:tblLayout w:type="fixed"/>
        <w:tblCellMar>
          <w:top w:w="28" w:type="dxa"/>
          <w:left w:w="28" w:type="dxa"/>
          <w:bottom w:w="28" w:type="dxa"/>
          <w:right w:w="28" w:type="dxa"/>
        </w:tblCellMar>
      </w:tblPr>
      <w:tblGrid>
        <w:gridCol w:w="1443"/>
        <w:gridCol w:w="1229"/>
        <w:gridCol w:w="1232"/>
        <w:gridCol w:w="488"/>
        <w:gridCol w:w="1609"/>
        <w:gridCol w:w="273"/>
        <w:gridCol w:w="209"/>
        <w:gridCol w:w="209"/>
        <w:gridCol w:w="209"/>
        <w:gridCol w:w="595"/>
        <w:gridCol w:w="2236"/>
        <w:gridCol w:w="473"/>
      </w:tblGrid>
      <w:tr>
        <w:trPr/>
        <w:tc>
          <w:tcPr>
            <w:tcW w:w="144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PathoQuest SAS</w:t>
            </w:r>
            <w:r>
              <w:rPr>
                <w:rFonts w:ascii="Times New Roman;serif" w:hAnsi="Times New Roman;serif"/>
                <w:b/>
                <w:color w:val="000000"/>
                <w:sz w:val="10"/>
              </w:rPr>
              <w:t>(1)</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Cambodian NHP Supplier</w:t>
            </w:r>
            <w:r>
              <w:rPr>
                <w:rFonts w:ascii="Times New Roman;serif" w:hAnsi="Times New Roman;serif"/>
                <w:b/>
                <w:color w:val="000000"/>
                <w:sz w:val="10"/>
              </w:rPr>
              <w:t>(1)</w:t>
            </w:r>
          </w:p>
        </w:tc>
      </w:tr>
      <w:tr>
        <w:trPr/>
        <w:tc>
          <w:tcPr>
            <w:tcW w:w="3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17, 2026</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14, 2026</w:t>
            </w:r>
          </w:p>
        </w:tc>
      </w:tr>
      <w:tr>
        <w:trPr/>
        <w:tc>
          <w:tcPr>
            <w:tcW w:w="3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114,688 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(excluding cash)</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net</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Goodwill </w:t>
            </w:r>
            <w:r>
              <w:rPr>
                <w:rFonts w:ascii="Times New Roman;serif" w:hAnsi="Times New Roman;serif"/>
                <w:b w:val="false"/>
                <w:color w:val="000000"/>
                <w:sz w:val="12"/>
              </w:rPr>
              <w:t>(2)</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335,906 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assets </w:t>
            </w:r>
            <w:r>
              <w:rPr>
                <w:rFonts w:ascii="Times New Roman;serif" w:hAnsi="Times New Roman;serif"/>
                <w:b w:val="false"/>
                <w:color w:val="000000"/>
                <w:sz w:val="12"/>
              </w:rPr>
              <w:t>(3)</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282,517 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liabilities</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long-term liabilities </w:t>
            </w:r>
            <w:r>
              <w:rPr>
                <w:rFonts w:ascii="Times New Roman;serif" w:hAnsi="Times New Roman;serif"/>
                <w:b w:val="false"/>
                <w:color w:val="000000"/>
                <w:sz w:val="12"/>
              </w:rPr>
              <w:t>(4)</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(233,296)</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purchase price allocation</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67,561 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507,259 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Purchase price allocation is preliminary and subject to change as additional information becomes available concerning the fair value and tax basis of the assets acquired and liabilities assumed, including certain obligations. Any additional adjustments to the purchase price allocation will be made as soon as practicable but no later than one year from the date of acquisition.</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0"/>
                <w:shd w:fill="FFFFFF" w:val="clear"/>
              </w:rPr>
              <w:t xml:space="preserve">(2) </w:t>
            </w:r>
            <w:r>
              <w:rPr>
                <w:rFonts w:ascii="Times New Roman;serif" w:hAnsi="Times New Roman;serif"/>
                <w:b w:val="false"/>
                <w:color w:val="000000"/>
                <w:sz w:val="16"/>
                <w:shd w:fill="FFFFFF" w:val="clear"/>
              </w:rPr>
              <w:t>The goodwill resulting from these transactions is primarily attributable to the potential growth of the Company’s segments from new customers introduced to the acquired businesses or synergies to be realized from acquiring an internal supplier servicing the DSA business and the assembled workforce of the acquirees. With the exception of $102.6 million of goodwill related to the Cambodian NHP Supplier, which will be deductible for tax purposes upon making the remaining deferred payments, goodwill is not deductible for tax purposes.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Other assets acquired resulting from Cambodian NHP Supplier include $283.0 million of biological assets, which will be amortized over an estimated eleven year useful life.</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Cambodian NHP Supplier other long-term liabilities include pre-acquisition uncertain tax positions of the seller associated with the acquired assets.</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recorded during the period, as well as the related effects on current period earnings, were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definite-lived intangible assets acquired were as follows:</w:t>
      </w:r>
    </w:p>
    <w:tbl>
      <w:tblPr>
        <w:tblW w:w="4496" w:type="dxa"/>
        <w:jc w:val="left"/>
        <w:tblInd w:w="0" w:type="dxa"/>
        <w:tblLayout w:type="fixed"/>
        <w:tblCellMar>
          <w:top w:w="28" w:type="dxa"/>
          <w:left w:w="28" w:type="dxa"/>
          <w:bottom w:w="28" w:type="dxa"/>
          <w:right w:w="28" w:type="dxa"/>
        </w:tblCellMar>
      </w:tblPr>
      <w:tblGrid>
        <w:gridCol w:w="1022"/>
        <w:gridCol w:w="898"/>
        <w:gridCol w:w="900"/>
        <w:gridCol w:w="109"/>
        <w:gridCol w:w="109"/>
        <w:gridCol w:w="109"/>
        <w:gridCol w:w="264"/>
        <w:gridCol w:w="875"/>
        <w:gridCol w:w="210"/>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PathoQuest SAS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Definite-Lived Intangible Assets</w:t>
            </w:r>
          </w:p>
        </w:tc>
        <w:tc>
          <w:tcPr>
            <w:tcW w:w="16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20,033 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Amortization Life</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r>
    </w:tbl>
    <w:p>
      <w:pPr>
        <w:pStyle w:val="TextBody"/>
        <w:bidi w:val="0"/>
        <w:spacing w:before="0" w:after="0"/>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Divestitures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routinely evaluates the strategic fit and fundamental performance of its global businesses, divesting operations that do not meet key business criteria. As part of this ongoing assessment, the Company determined that certain capital could be better deployed in other long-term growth opportunities.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Divestiture of Certain European Discovery Services Businesses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22, 2026, the Company sold certain European Discovery Services businesses (European Discovery Divestiture) to IQVIA Inc. (IQVIA) for a preliminary purchase price of $125.2 million in cash, net of costs to sell and subject to certain customary closing adjustments. The Company may also earn up to $10.0 million of contingent payments, which are tied to future performance. The contingent payments have been valued at $2.8 million using a discounted probability weighted model. The results of the European Discovery Services businesses were reported in the Company’s DSA reportable segment. During the three and six months ended June 27, 2026, the Company recorded a pre-tax gain on the divestiture of $0.3 million within Other (expense) income, net on the unaudited condensed consolidated statements of income (loss).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Divestiture of CDMO and Cell Solutions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6, 2026, the Company sold its CDMO and Cell Solutions businesses (CDMO and Cell Solutions Divestiture) to GI Partners (GI) for net cash paid to the buyer of $12.4 million, net of costs to sell and subject to certain customary closing adjustments. Additionally, the Company may be required to fund up to $45.0 million of future EBITDA losses and capital expenditures of the divested businesses to GI over a four-year period, which is expected to be fully used by GI. Conversely, the Company may also earn up to $50.0 million of contingent payments, which are tied to future performance and achievement of milestones. The contingent payments receivable have been valued at $15.7 million using a discounted probability weighted model. The results of the CDMO and Cell Solutions businesses were reported in the Company’s Manufacturing reportable segment and RMS reportable segment, respectively. During the three and six months ended June 27, 2026, the Company recorded a pre-tax loss on the divestiture of $63.7 million and $181.7 million, respectively, within Other (expense) income, net on the unaudited condensed consolidated statements of income (loss). These businesses and the related assets and liabilities met the criteria for held-for-sale as of March 28, 2026, resulting in a pre-tax loss of $118.0 million recognized for the three months ended March 28, 2026, which represents the excess of its carrying value over the fair value less cost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a result of the divestitures, the Company derecognized the net assets of the European Discovery Divestiture and CDMO and Cell Solutions Divestiture as follows:</w:t>
      </w:r>
    </w:p>
    <w:tbl>
      <w:tblPr>
        <w:tblW w:w="8469" w:type="dxa"/>
        <w:jc w:val="left"/>
        <w:tblInd w:w="0" w:type="dxa"/>
        <w:tblLayout w:type="fixed"/>
        <w:tblCellMar>
          <w:top w:w="28" w:type="dxa"/>
          <w:left w:w="28" w:type="dxa"/>
          <w:bottom w:w="28" w:type="dxa"/>
          <w:right w:w="28" w:type="dxa"/>
        </w:tblCellMar>
      </w:tblPr>
      <w:tblGrid>
        <w:gridCol w:w="1036"/>
        <w:gridCol w:w="909"/>
        <w:gridCol w:w="919"/>
        <w:gridCol w:w="454"/>
        <w:gridCol w:w="1708"/>
        <w:gridCol w:w="252"/>
        <w:gridCol w:w="109"/>
        <w:gridCol w:w="109"/>
        <w:gridCol w:w="109"/>
        <w:gridCol w:w="563"/>
        <w:gridCol w:w="1858"/>
        <w:gridCol w:w="443"/>
      </w:tblGrid>
      <w:tr>
        <w:trPr/>
        <w:tc>
          <w:tcPr>
            <w:tcW w:w="10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16"/>
              </w:rPr>
            </w:pPr>
            <w:r>
              <w:rPr>
                <w:rFonts w:ascii="Times New Roman;serif" w:hAnsi="Times New Roman;serif"/>
                <w:b/>
                <w:color w:val="000000"/>
                <w:sz w:val="16"/>
              </w:rPr>
              <w:t>European Discovery Divestiture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16"/>
              </w:rPr>
            </w:pPr>
            <w:r>
              <w:rPr>
                <w:rFonts w:ascii="Times New Roman;serif" w:hAnsi="Times New Roman;serif"/>
                <w:b/>
                <w:color w:val="000000"/>
                <w:sz w:val="16"/>
              </w:rPr>
              <w:t>CDMO and Cell Solutions Divestiture</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6, 2026</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67,330 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plant, and equipment, net </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14,285 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4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211,540 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81,909 </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33,709 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liabilities</w:t>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23,316 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liabilities </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86,617 </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59,950 </w:t>
            </w:r>
          </w:p>
        </w:tc>
        <w:tc>
          <w:tcPr>
            <w:tcW w:w="4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revenue by reportable segment and timing of transfer of products or services:</w:t>
      </w:r>
    </w:p>
    <w:tbl>
      <w:tblPr>
        <w:tblW w:w="9434" w:type="dxa"/>
        <w:jc w:val="left"/>
        <w:tblInd w:w="0" w:type="dxa"/>
        <w:tblLayout w:type="fixed"/>
        <w:tblCellMar>
          <w:top w:w="28" w:type="dxa"/>
          <w:left w:w="28" w:type="dxa"/>
          <w:bottom w:w="28" w:type="dxa"/>
          <w:right w:w="28" w:type="dxa"/>
        </w:tblCellMar>
      </w:tblPr>
      <w:tblGrid>
        <w:gridCol w:w="1342"/>
        <w:gridCol w:w="1177"/>
        <w:gridCol w:w="1185"/>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RMS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products transferred over time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products transferred at a point in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RMS revenue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DSA</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products transferred over time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products transferred at a point in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DSA revenue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1,210,638 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Manufacturing</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products transferred over time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products transferred at a point in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Manufacturing revenue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1,004,078 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1,032,135 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1,999,908 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 Balances from Contracts with Customers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information about client receivables, contract assets, and contract liabilities from contracts with customers:</w:t>
      </w:r>
    </w:p>
    <w:tbl>
      <w:tblPr>
        <w:tblW w:w="7902" w:type="dxa"/>
        <w:jc w:val="left"/>
        <w:tblInd w:w="0" w:type="dxa"/>
        <w:tblLayout w:type="fixed"/>
        <w:tblCellMar>
          <w:top w:w="28" w:type="dxa"/>
          <w:left w:w="28" w:type="dxa"/>
          <w:bottom w:w="28" w:type="dxa"/>
          <w:right w:w="28" w:type="dxa"/>
        </w:tblCellMar>
      </w:tblPr>
      <w:tblGrid>
        <w:gridCol w:w="1774"/>
        <w:gridCol w:w="1563"/>
        <w:gridCol w:w="1568"/>
        <w:gridCol w:w="212"/>
        <w:gridCol w:w="796"/>
        <w:gridCol w:w="117"/>
        <w:gridCol w:w="109"/>
        <w:gridCol w:w="109"/>
        <w:gridCol w:w="109"/>
        <w:gridCol w:w="279"/>
        <w:gridCol w:w="1047"/>
        <w:gridCol w:w="219"/>
      </w:tblGrid>
      <w:tr>
        <w:trPr/>
        <w:tc>
          <w:tcPr>
            <w:tcW w:w="177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Assets from contracts with customers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Client receivables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524,810 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518,728 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195,660 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720,470 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719,319 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(8,715)</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(10,463)</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and contract assets, net</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711,755 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708,856 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from contracts with customers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deferred revenue</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203,035 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 (included in Other long-term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 deposits (included in Other current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Approximately 85% of unbilled revenue as of December 27, 2025, which was $201 million, was billed during the six months ended June 27, 2026. Approximately 85% of unbilled revenue as of December 28, 2024, which was $212 million, was billed during the six months ended June 28,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Approximately 70% of contract liabilities as of December 27, 2025, which was $256 million, were recognized as revenue during the six months ended June 27, 2026. Approximately 70% of contract liabilities as of December 28, 2024, which was $283 million, were recognized as revenue during the six months ended June 28,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$50 million and $43 million of unpaid advanced client billings from both client receivables and deferred revenue in the accompanying unaudited condensed consolidated balance sheets as of June 27, 2026 and December 27, 2025, respectively.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activity of the Company’s allowance for credit losses:</w:t>
      </w:r>
    </w:p>
    <w:tbl>
      <w:tblPr>
        <w:tblW w:w="4548" w:type="dxa"/>
        <w:jc w:val="left"/>
        <w:tblInd w:w="0" w:type="dxa"/>
        <w:tblLayout w:type="fixed"/>
        <w:tblCellMar>
          <w:top w:w="28" w:type="dxa"/>
          <w:left w:w="28" w:type="dxa"/>
          <w:bottom w:w="28" w:type="dxa"/>
          <w:right w:w="28" w:type="dxa"/>
        </w:tblCellMar>
      </w:tblPr>
      <w:tblGrid>
        <w:gridCol w:w="516"/>
        <w:gridCol w:w="453"/>
        <w:gridCol w:w="456"/>
        <w:gridCol w:w="109"/>
        <w:gridCol w:w="109"/>
        <w:gridCol w:w="131"/>
        <w:gridCol w:w="131"/>
        <w:gridCol w:w="236"/>
        <w:gridCol w:w="779"/>
        <w:gridCol w:w="131"/>
        <w:gridCol w:w="109"/>
        <w:gridCol w:w="109"/>
        <w:gridCol w:w="109"/>
        <w:gridCol w:w="230"/>
        <w:gridCol w:w="759"/>
        <w:gridCol w:w="18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497" w:type="dxa"/>
            <w:gridSpan w:val="6"/>
            <w:tcBorders/>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12,838 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recoveries were $0.2 million during the six months ended June 27, 2026, while net provision expenses were $1.0 million during the six months ended June 28, 2025. These amounts include recoveries of balances previously written off, which are excluded from the table above.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Transaction Price Allocated to Future Performance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discloses the aggregate amount of transaction price that is allocated to performance obligations that have not yet been satisfied as of June 27, 2026. Excluded from the disclosure is the value of unsatisfied performance obligations for contracts with an original expected length of one year or less, contracts for which revenue is recognized at the amount to which the Company has the right to invoice for services performed, and service revenue recognized in accordance with ASC 842, “Leases.” The aggregate amount of transaction price allocated to the remaining performance obligations for all open customer contracts as of June 27, 2026 was $699.9 million. The Company will recognize revenues for these performance obligations as they are satisfied, approximately 50% of which is expected to occur within the next twelve months and the remainder recognized thereafter during the remaining contract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pPr>
      <w:r>
        <w:rPr>
          <w:rFonts w:ascii="Times New Roman;serif" w:hAnsi="Times New Roman;serif"/>
          <w:b/>
          <w:i/>
          <w:color w:val="000000"/>
          <w:sz w:val="20"/>
        </w:rPr>
        <w:t>Other Performance Obligation</w:t>
      </w:r>
      <w:r>
        <w:rPr>
          <w:rFonts w:ascii="sans-serif" w:hAnsi="sans-serif"/>
          <w:b/>
          <w:i/>
          <w:color w:val="000000"/>
          <w:sz w:val="20"/>
        </w:rPr>
        <w: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part of the Company’s service offerings, the Company has identified performance obligations related to leasing Company owned assets. In certain arrangements, customers obtain substantially all of the economic benefits of the identified assets, which may include manufacturing suites and related equipment, and have the right to direct the assets’ use over the term of the contract. The associated revenue is recognized on a straight-line basis over the term of the lease, which is generally less than one year, and recorded within service revenue. The Company recognized $8.7 million and $12.1 million in lease revenue during the three months ended June 27, 2026 and June 28, 2025. The Company recognized $20.9 million and $23.6 million in lease revenue during the six months ended June 27, 2026 and June 28, 2025. Due to the nature of these arrangements and timing of the contractual lease term, the remaining revenue to be recognized related to these lease performance obligations is not material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SEGMENT AND GEOGRAPHIC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three reportable segments: RMS, DSA, and Manufacturing. The reportable segments comprise the structure used by the Company’s Chief Executive Officer, who is the Chief Operating Decision Maker (CODM), to make key operating decisions and assess performance. These segments are strategic business units with differing products and services.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CODM evaluates the segments’ operating performance based on operating income. Operating income is the measure of profit or loss regularly provided to and used by the CODM to assess performance and allocate resources. Operating income is defined as revenue less costs of revenue; selling, general, and administrative expenses; and amortization of intangible assets. For each segment, the CODM uses operating income in the annual budgeting and quarterly forecasting process when comparing to actual results. Asset information on a reportable segment basis is not disclosed as this information is not separately identified and internally reported to the Company’s CODM. The following table presents the results of operations by reportable segment:</w:t>
      </w:r>
    </w:p>
    <w:tbl>
      <w:tblPr>
        <w:tblW w:w="10205" w:type="dxa"/>
        <w:jc w:val="left"/>
        <w:tblInd w:w="0" w:type="dxa"/>
        <w:tblLayout w:type="fixed"/>
        <w:tblCellMar>
          <w:top w:w="28" w:type="dxa"/>
          <w:left w:w="28" w:type="dxa"/>
          <w:bottom w:w="28" w:type="dxa"/>
          <w:right w:w="28" w:type="dxa"/>
        </w:tblCellMar>
      </w:tblPr>
      <w:tblGrid>
        <w:gridCol w:w="1370"/>
        <w:gridCol w:w="1103"/>
        <w:gridCol w:w="1113"/>
        <w:gridCol w:w="233"/>
        <w:gridCol w:w="939"/>
        <w:gridCol w:w="129"/>
        <w:gridCol w:w="129"/>
        <w:gridCol w:w="129"/>
        <w:gridCol w:w="129"/>
        <w:gridCol w:w="243"/>
        <w:gridCol w:w="916"/>
        <w:gridCol w:w="134"/>
        <w:gridCol w:w="129"/>
        <w:gridCol w:w="129"/>
        <w:gridCol w:w="129"/>
        <w:gridCol w:w="233"/>
        <w:gridCol w:w="1037"/>
        <w:gridCol w:w="129"/>
        <w:gridCol w:w="129"/>
        <w:gridCol w:w="129"/>
        <w:gridCol w:w="129"/>
        <w:gridCol w:w="233"/>
        <w:gridCol w:w="1037"/>
        <w:gridCol w:w="195"/>
      </w:tblGrid>
      <w:tr>
        <w:trPr/>
        <w:tc>
          <w:tcPr>
            <w:tcW w:w="137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RMS</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35,786 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DSA</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1,203,430 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1,210,638 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842,050 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124,399 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122,781 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228,274 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216,733 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Manufacturing</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217,023 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66,448 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92,409 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112,445 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Unallocated Corporate </w:t>
            </w:r>
            <w:r>
              <w:rPr>
                <w:rFonts w:ascii="Times New Roman;serif" w:hAnsi="Times New Roman;serif"/>
                <w:b/>
                <w:color w:val="000000"/>
                <w:sz w:val="10"/>
              </w:rPr>
              <w:t>(1)</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(106,394)</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(70,494)</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(186,984)</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(124,762)</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Operating income for unallocated corporate consists of costs associated with departments such as senior executives, corporate accounting, legal, tax, human resources, treasury, and investor relations.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bl>
      <w:tblPr>
        <w:tblW w:w="8415" w:type="dxa"/>
        <w:jc w:val="left"/>
        <w:tblInd w:w="0" w:type="dxa"/>
        <w:tblLayout w:type="fixed"/>
        <w:tblCellMar>
          <w:top w:w="28" w:type="dxa"/>
          <w:left w:w="28" w:type="dxa"/>
          <w:bottom w:w="28" w:type="dxa"/>
          <w:right w:w="28" w:type="dxa"/>
        </w:tblCellMar>
      </w:tblPr>
      <w:tblGrid>
        <w:gridCol w:w="970"/>
        <w:gridCol w:w="853"/>
        <w:gridCol w:w="862"/>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RMS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DSA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RMS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DSA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(related to both intangible assets and certain assets acquired in business combinations) by reportable segment are as follows:</w:t>
      </w:r>
    </w:p>
    <w:tbl>
      <w:tblPr>
        <w:tblW w:w="9810" w:type="dxa"/>
        <w:jc w:val="left"/>
        <w:tblInd w:w="0" w:type="dxa"/>
        <w:tblLayout w:type="fixed"/>
        <w:tblCellMar>
          <w:top w:w="28" w:type="dxa"/>
          <w:left w:w="28" w:type="dxa"/>
          <w:bottom w:w="28" w:type="dxa"/>
          <w:right w:w="28" w:type="dxa"/>
        </w:tblCellMar>
      </w:tblPr>
      <w:tblGrid>
        <w:gridCol w:w="912"/>
        <w:gridCol w:w="801"/>
        <w:gridCol w:w="806"/>
        <w:gridCol w:w="196"/>
        <w:gridCol w:w="646"/>
        <w:gridCol w:w="109"/>
        <w:gridCol w:w="109"/>
        <w:gridCol w:w="109"/>
        <w:gridCol w:w="109"/>
        <w:gridCol w:w="196"/>
        <w:gridCol w:w="646"/>
        <w:gridCol w:w="109"/>
        <w:gridCol w:w="109"/>
        <w:gridCol w:w="109"/>
        <w:gridCol w:w="109"/>
        <w:gridCol w:w="247"/>
        <w:gridCol w:w="815"/>
        <w:gridCol w:w="139"/>
        <w:gridCol w:w="109"/>
        <w:gridCol w:w="109"/>
        <w:gridCol w:w="109"/>
        <w:gridCol w:w="406"/>
        <w:gridCol w:w="1152"/>
        <w:gridCol w:w="226"/>
        <w:gridCol w:w="109"/>
        <w:gridCol w:w="109"/>
        <w:gridCol w:w="109"/>
        <w:gridCol w:w="197"/>
        <w:gridCol w:w="742"/>
        <w:gridCol w:w="157"/>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Manufacturing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Unallocated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Capital Expenditures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Depreciation and amortization </w:t>
            </w:r>
            <w:r>
              <w:rPr>
                <w:rFonts w:ascii="Times New Roman;serif" w:hAnsi="Times New Roman;serif"/>
                <w:b/>
                <w:color w:val="000000"/>
                <w:sz w:val="10"/>
              </w:rPr>
              <w:t>(1)</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109,966 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239,871 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30"/>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Depreciation and amortization includes both inventory step up amortization expense and biological assets amortization expense.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represents sales originating in entities physically located in the identified geographic area. Revenue by geographic area is as follows:</w:t>
      </w:r>
    </w:p>
    <w:tbl>
      <w:tblPr>
        <w:tblW w:w="9786" w:type="dxa"/>
        <w:jc w:val="left"/>
        <w:tblInd w:w="0" w:type="dxa"/>
        <w:tblLayout w:type="fixed"/>
        <w:tblCellMar>
          <w:top w:w="28" w:type="dxa"/>
          <w:left w:w="28" w:type="dxa"/>
          <w:bottom w:w="28" w:type="dxa"/>
          <w:right w:w="28" w:type="dxa"/>
        </w:tblCellMar>
      </w:tblPr>
      <w:tblGrid>
        <w:gridCol w:w="607"/>
        <w:gridCol w:w="534"/>
        <w:gridCol w:w="53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Other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1,999,908 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6"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Other category represents operations located in Brazil, Israel, and Mauritius.</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consist of property, plant, and equipment, net. Long-lived assets by geographic area are as follows:</w:t>
      </w:r>
    </w:p>
    <w:tbl>
      <w:tblPr>
        <w:tblW w:w="10205" w:type="dxa"/>
        <w:jc w:val="left"/>
        <w:tblInd w:w="0" w:type="dxa"/>
        <w:tblLayout w:type="fixed"/>
        <w:tblCellMar>
          <w:top w:w="28" w:type="dxa"/>
          <w:left w:w="28" w:type="dxa"/>
          <w:bottom w:w="28" w:type="dxa"/>
          <w:right w:w="28" w:type="dxa"/>
        </w:tblCellMar>
      </w:tblPr>
      <w:tblGrid>
        <w:gridCol w:w="839"/>
        <w:gridCol w:w="735"/>
        <w:gridCol w:w="74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7"/>
        <w:gridCol w:w="650"/>
        <w:gridCol w:w="109"/>
        <w:gridCol w:w="109"/>
        <w:gridCol w:w="109"/>
        <w:gridCol w:w="109"/>
        <w:gridCol w:w="196"/>
        <w:gridCol w:w="646"/>
        <w:gridCol w:w="109"/>
        <w:gridCol w:w="109"/>
        <w:gridCol w:w="109"/>
        <w:gridCol w:w="109"/>
        <w:gridCol w:w="196"/>
        <w:gridCol w:w="871"/>
        <w:gridCol w:w="158"/>
      </w:tblGrid>
      <w:tr>
        <w:trPr/>
        <w:tc>
          <w:tcPr>
            <w:tcW w:w="8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Property, plant and equipment,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1,494,914 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27,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1,655,219 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SUPPLEMENTAL CASH FLOW INFORMATION</w:t>
      </w:r>
    </w:p>
    <w:tbl>
      <w:tblPr>
        <w:tblW w:w="9581" w:type="dxa"/>
        <w:jc w:val="left"/>
        <w:tblInd w:w="0" w:type="dxa"/>
        <w:tblLayout w:type="fixed"/>
        <w:tblCellMar>
          <w:top w:w="28" w:type="dxa"/>
          <w:left w:w="28" w:type="dxa"/>
          <w:bottom w:w="28" w:type="dxa"/>
          <w:right w:w="28" w:type="dxa"/>
        </w:tblCellMar>
      </w:tblPr>
      <w:tblGrid>
        <w:gridCol w:w="2515"/>
        <w:gridCol w:w="2216"/>
        <w:gridCol w:w="2228"/>
        <w:gridCol w:w="232"/>
        <w:gridCol w:w="764"/>
        <w:gridCol w:w="129"/>
        <w:gridCol w:w="109"/>
        <w:gridCol w:w="109"/>
        <w:gridCol w:w="109"/>
        <w:gridCol w:w="230"/>
        <w:gridCol w:w="759"/>
        <w:gridCol w:w="181"/>
      </w:tblGrid>
      <w:tr>
        <w:trPr/>
        <w:tc>
          <w:tcPr>
            <w:tcW w:w="251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 included in Accounts payable and Accrued liabilities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 under finance leases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are included in the accompanying unaudited condensed consolidated balance sheets as follows:</w:t>
      </w:r>
    </w:p>
    <w:tbl>
      <w:tblPr>
        <w:tblW w:w="7151" w:type="dxa"/>
        <w:jc w:val="left"/>
        <w:tblInd w:w="0" w:type="dxa"/>
        <w:tblLayout w:type="fixed"/>
        <w:tblCellMar>
          <w:top w:w="28" w:type="dxa"/>
          <w:left w:w="28" w:type="dxa"/>
          <w:bottom w:w="28" w:type="dxa"/>
          <w:right w:w="28" w:type="dxa"/>
        </w:tblCellMar>
      </w:tblPr>
      <w:tblGrid>
        <w:gridCol w:w="1642"/>
        <w:gridCol w:w="1440"/>
        <w:gridCol w:w="1447"/>
        <w:gridCol w:w="212"/>
        <w:gridCol w:w="796"/>
        <w:gridCol w:w="117"/>
        <w:gridCol w:w="109"/>
        <w:gridCol w:w="109"/>
        <w:gridCol w:w="109"/>
        <w:gridCol w:w="211"/>
        <w:gridCol w:w="793"/>
        <w:gridCol w:w="166"/>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240,581 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SUPPLEMENTAL BALANCE SHEET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composition of other assets included in the accompanying unaudited condensed consolidated balance sheets is as follows:</w:t>
      </w:r>
    </w:p>
    <w:tbl>
      <w:tblPr>
        <w:tblW w:w="4932" w:type="dxa"/>
        <w:jc w:val="left"/>
        <w:tblInd w:w="0" w:type="dxa"/>
        <w:tblLayout w:type="fixed"/>
        <w:tblCellMar>
          <w:top w:w="28" w:type="dxa"/>
          <w:left w:w="28" w:type="dxa"/>
          <w:bottom w:w="28" w:type="dxa"/>
          <w:right w:w="28" w:type="dxa"/>
        </w:tblCellMar>
      </w:tblPr>
      <w:tblGrid>
        <w:gridCol w:w="701"/>
        <w:gridCol w:w="616"/>
        <w:gridCol w:w="618"/>
        <w:gridCol w:w="212"/>
        <w:gridCol w:w="796"/>
        <w:gridCol w:w="117"/>
        <w:gridCol w:w="109"/>
        <w:gridCol w:w="109"/>
        <w:gridCol w:w="109"/>
        <w:gridCol w:w="279"/>
        <w:gridCol w:w="1047"/>
        <w:gridCol w:w="219"/>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Bearer biological assets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insurance policies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pension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587,556 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293,185 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Subsequent to June 27, 2026, the Company surrendered certain company-owned life insurance policies. In connection with these transactions, the Company received aggregate proceeds of approximately $58.1 million. The carrying value of these policies at June 27, 2026 was $59.5 million, resulting in an immaterial pre-tax loss which will be recognized in the third quarter.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composition of other long-term liabilities included in the accompanying unaudited condensed consolidated balance sheets is as follows:</w:t>
      </w:r>
    </w:p>
    <w:tbl>
      <w:tblPr>
        <w:tblW w:w="10205" w:type="dxa"/>
        <w:jc w:val="left"/>
        <w:tblInd w:w="0" w:type="dxa"/>
        <w:tblLayout w:type="fixed"/>
        <w:tblCellMar>
          <w:top w:w="28" w:type="dxa"/>
          <w:left w:w="28" w:type="dxa"/>
          <w:bottom w:w="28" w:type="dxa"/>
          <w:right w:w="28" w:type="dxa"/>
        </w:tblCellMar>
      </w:tblPr>
      <w:tblGrid>
        <w:gridCol w:w="2647"/>
        <w:gridCol w:w="2327"/>
        <w:gridCol w:w="2334"/>
        <w:gridCol w:w="209"/>
        <w:gridCol w:w="784"/>
        <w:gridCol w:w="115"/>
        <w:gridCol w:w="109"/>
        <w:gridCol w:w="109"/>
        <w:gridCol w:w="109"/>
        <w:gridCol w:w="263"/>
        <w:gridCol w:w="989"/>
        <w:gridCol w:w="210"/>
      </w:tblGrid>
      <w:tr>
        <w:trPr/>
        <w:tc>
          <w:tcPr>
            <w:tcW w:w="264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pension liability, accrued executive supplemental life insurance retirement plan and deferred compensation plan</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tax liability</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402,511 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138,302 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INVENTORY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composition of inventories is as follows:</w:t>
      </w:r>
    </w:p>
    <w:tbl>
      <w:tblPr>
        <w:tblW w:w="5052" w:type="dxa"/>
        <w:jc w:val="left"/>
        <w:tblInd w:w="0" w:type="dxa"/>
        <w:tblLayout w:type="fixed"/>
        <w:tblCellMar>
          <w:top w:w="28" w:type="dxa"/>
          <w:left w:w="28" w:type="dxa"/>
          <w:bottom w:w="28" w:type="dxa"/>
          <w:right w:w="28" w:type="dxa"/>
        </w:tblCellMar>
      </w:tblPr>
      <w:tblGrid>
        <w:gridCol w:w="744"/>
        <w:gridCol w:w="654"/>
        <w:gridCol w:w="657"/>
        <w:gridCol w:w="212"/>
        <w:gridCol w:w="796"/>
        <w:gridCol w:w="117"/>
        <w:gridCol w:w="109"/>
        <w:gridCol w:w="109"/>
        <w:gridCol w:w="109"/>
        <w:gridCol w:w="279"/>
        <w:gridCol w:w="1047"/>
        <w:gridCol w:w="219"/>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supplies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254,110 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169,401 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346,260 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299,103 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Inventory step up amortization expense for the three months ended June 27, 2026 and June 28, 2025 was $1.5 million and $4.2 million, respectively. Inventory step up amortization expense for the six months ended June 27, 2026 and June 28, 2025 was $1.5 million and $10.4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PROPERTY, PLANT AND EQUIPMENT,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of property, plant and equipment, net is as follows: </w:t>
      </w:r>
    </w:p>
    <w:tbl>
      <w:tblPr>
        <w:tblW w:w="5732" w:type="dxa"/>
        <w:jc w:val="left"/>
        <w:tblInd w:w="0" w:type="dxa"/>
        <w:tblLayout w:type="fixed"/>
        <w:tblCellMar>
          <w:top w:w="28" w:type="dxa"/>
          <w:left w:w="28" w:type="dxa"/>
          <w:bottom w:w="28" w:type="dxa"/>
          <w:right w:w="28" w:type="dxa"/>
        </w:tblCellMar>
      </w:tblPr>
      <w:tblGrid>
        <w:gridCol w:w="971"/>
        <w:gridCol w:w="850"/>
        <w:gridCol w:w="864"/>
        <w:gridCol w:w="196"/>
        <w:gridCol w:w="871"/>
        <w:gridCol w:w="109"/>
        <w:gridCol w:w="109"/>
        <w:gridCol w:w="109"/>
        <w:gridCol w:w="109"/>
        <w:gridCol w:w="248"/>
        <w:gridCol w:w="1102"/>
        <w:gridCol w:w="194"/>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Buildings </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1,097,572 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Machinery and equipment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1,093,556 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438,230 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Computer hardware and software </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284,913 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Vehicles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171,604 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2,955,156 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3,192,922 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(1,460,242)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(1,537,703)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1,655,219 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These balances include assets under finance leases. </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March 2026, the Company completed the sale of certain assets at the Wilmington, Massachusetts site. The assets consisted of office, laboratory and mixed-use buildings within our RMS segment and unallocated corporate, and was sold to an unrelated third party for cash consideration of $60.1 million, net of costs to sell. In conjunction with the sale, the Company has entered into a long-term operating lease for certain buildings to support RMS and unallocated corporate operations. Upon meeting the criteria for sale leaseback, the Company derecognized the book value of $21.6 million and recognized a pre-tax gain of $38.5 million. The gain was recognized within the RMS reportable segment and unallocated corporate for $23.2 million and $15.3 million, respectively, and is included in Selling, general and administrative expenses within the unaudited condensed consolidated statements of income (loss). As of December 27, 2025, the Company included the above assets as held for sale within Other assets on the unaudited condensed consolidated balance sheets.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in the three months ended June 27, 2026 and June 28, 2025 was $39.3 million and $44.3 million, respectively. Depreciation expense in the six months ended June 27, 2026 and June 28, 2025 was $80.6 million and $87.7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VENTURE CAPITAL AND STRATEGIC EQUITY 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Venture capital investments are summarized below:</w:t>
      </w:r>
    </w:p>
    <w:tbl>
      <w:tblPr>
        <w:tblW w:w="4977" w:type="dxa"/>
        <w:jc w:val="left"/>
        <w:tblInd w:w="0" w:type="dxa"/>
        <w:tblLayout w:type="fixed"/>
        <w:tblCellMar>
          <w:top w:w="28" w:type="dxa"/>
          <w:left w:w="28" w:type="dxa"/>
          <w:bottom w:w="28" w:type="dxa"/>
          <w:right w:w="28" w:type="dxa"/>
        </w:tblCellMar>
      </w:tblPr>
      <w:tblGrid>
        <w:gridCol w:w="853"/>
        <w:gridCol w:w="748"/>
        <w:gridCol w:w="754"/>
        <w:gridCol w:w="212"/>
        <w:gridCol w:w="796"/>
        <w:gridCol w:w="117"/>
        <w:gridCol w:w="109"/>
        <w:gridCol w:w="109"/>
        <w:gridCol w:w="109"/>
        <w:gridCol w:w="211"/>
        <w:gridCol w:w="793"/>
        <w:gridCol w:w="166"/>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and impairments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133,373 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114,031 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 Company also invests, with minority positions, directly in equity of predominantly privately held companies. </w:t>
      </w:r>
      <w:r>
        <w:rPr>
          <w:rFonts w:ascii="Times New Roman;serif" w:hAnsi="Times New Roman;serif"/>
          <w:b w:val="false"/>
          <w:color w:val="000000"/>
          <w:sz w:val="20"/>
        </w:rPr>
        <w:t>Strategic investments are summarized below:</w:t>
      </w:r>
    </w:p>
    <w:tbl>
      <w:tblPr>
        <w:tblW w:w="5261" w:type="dxa"/>
        <w:jc w:val="left"/>
        <w:tblInd w:w="0" w:type="dxa"/>
        <w:tblLayout w:type="fixed"/>
        <w:tblCellMar>
          <w:top w:w="28" w:type="dxa"/>
          <w:left w:w="28" w:type="dxa"/>
          <w:bottom w:w="28" w:type="dxa"/>
          <w:right w:w="28" w:type="dxa"/>
        </w:tblCellMar>
      </w:tblPr>
      <w:tblGrid>
        <w:gridCol w:w="956"/>
        <w:gridCol w:w="839"/>
        <w:gridCol w:w="844"/>
        <w:gridCol w:w="232"/>
        <w:gridCol w:w="764"/>
        <w:gridCol w:w="129"/>
        <w:gridCol w:w="109"/>
        <w:gridCol w:w="109"/>
        <w:gridCol w:w="109"/>
        <w:gridCol w:w="211"/>
        <w:gridCol w:w="793"/>
        <w:gridCol w:w="166"/>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and impairments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for acquisition of entities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73,097 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102,042 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2622"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10. FAIR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are summarized below:</w:t>
      </w:r>
    </w:p>
    <w:tbl>
      <w:tblPr>
        <w:tblW w:w="8596" w:type="dxa"/>
        <w:jc w:val="left"/>
        <w:tblInd w:w="0" w:type="dxa"/>
        <w:tblLayout w:type="fixed"/>
        <w:tblCellMar>
          <w:top w:w="28" w:type="dxa"/>
          <w:left w:w="28" w:type="dxa"/>
          <w:bottom w:w="28" w:type="dxa"/>
          <w:right w:w="28" w:type="dxa"/>
        </w:tblCellMar>
      </w:tblPr>
      <w:tblGrid>
        <w:gridCol w:w="1292"/>
        <w:gridCol w:w="1134"/>
        <w:gridCol w:w="1144"/>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5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measured at fair value: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insurance policies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measured at fair value: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measured at fair value: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measured at fair value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transfers between levels within the fair value hierarchy, if any, at the end of each quarter. During the six months ended June 27, 2026, there were no transfers between levels.</w:t>
      </w:r>
    </w:p>
    <w:tbl>
      <w:tblPr>
        <w:tblW w:w="7619" w:type="dxa"/>
        <w:jc w:val="left"/>
        <w:tblInd w:w="0" w:type="dxa"/>
        <w:tblLayout w:type="fixed"/>
        <w:tblCellMar>
          <w:top w:w="28" w:type="dxa"/>
          <w:left w:w="28" w:type="dxa"/>
          <w:bottom w:w="28" w:type="dxa"/>
          <w:right w:w="28" w:type="dxa"/>
        </w:tblCellMar>
      </w:tblPr>
      <w:tblGrid>
        <w:gridCol w:w="1096"/>
        <w:gridCol w:w="962"/>
        <w:gridCol w:w="971"/>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measured at fair value: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insurance policies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measured at fair value: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measured at fair value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27, 2025, there were no transfers between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contingent consideration related to the Company’s acquisitions and divestitures.</w:t>
      </w:r>
    </w:p>
    <w:tbl>
      <w:tblPr>
        <w:tblW w:w="6566" w:type="dxa"/>
        <w:jc w:val="left"/>
        <w:tblInd w:w="0" w:type="dxa"/>
        <w:tblLayout w:type="fixed"/>
        <w:tblCellMar>
          <w:top w:w="28" w:type="dxa"/>
          <w:left w:w="28" w:type="dxa"/>
          <w:bottom w:w="28" w:type="dxa"/>
          <w:right w:w="28" w:type="dxa"/>
        </w:tblCellMar>
      </w:tblPr>
      <w:tblGrid>
        <w:gridCol w:w="1428"/>
        <w:gridCol w:w="1254"/>
        <w:gridCol w:w="1262"/>
        <w:gridCol w:w="232"/>
        <w:gridCol w:w="764"/>
        <w:gridCol w:w="129"/>
        <w:gridCol w:w="109"/>
        <w:gridCol w:w="109"/>
        <w:gridCol w:w="109"/>
        <w:gridCol w:w="230"/>
        <w:gridCol w:w="759"/>
        <w:gridCol w:w="181"/>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gains or losses (realized/unrealized):</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previously recorded contingent liability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26,130 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contingent consideration obligations through valuation models, such as probability-weighted and option pricing models, which incorporate probability adjusted assumptions and simulations related to the achievement of the milestones and the likelihood of making related payments. The unobservable inputs used in the fair value measurements include the probabilities of successful achievement of certain financial targets, forecasted results or targets, volatility, and discount rates. The remaining maximum potential payments are approximately $45.0 million, the full value of which is accrued as of June 27, 2026.</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Debt Instruments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book value of the Company’s revolving loans are variable rate loans carried at amortized cost which approximates the fair value. The fair value is based on significant other observable inputs, including current interest and foreign currency exchange rates, and is deemed to be Level 2 within the fair value hierarchy.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book value of the Company’s Senior Notes are fixed rate obligations carried at amortized cost. Fair value is based on quoted market prices as well as borrowing rates available to the Company. As the fair value is based on significant other observable outputs, it is deemed to be Level 2 within the fair value hierarchy. The book value, excluding issuance costs, and fair value of the Company’s Senior Notes is summarized below:</w:t>
      </w:r>
    </w:p>
    <w:tbl>
      <w:tblPr>
        <w:tblW w:w="7454" w:type="dxa"/>
        <w:jc w:val="left"/>
        <w:tblInd w:w="0" w:type="dxa"/>
        <w:tblLayout w:type="fixed"/>
        <w:tblCellMar>
          <w:top w:w="28" w:type="dxa"/>
          <w:left w:w="28" w:type="dxa"/>
          <w:bottom w:w="28" w:type="dxa"/>
          <w:right w:w="28" w:type="dxa"/>
        </w:tblCellMar>
      </w:tblPr>
      <w:tblGrid>
        <w:gridCol w:w="819"/>
        <w:gridCol w:w="719"/>
        <w:gridCol w:w="72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4.25% Senior Notes due 2028</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3.75% Senior Notes due 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GOODWILL AND INTANGIBLE ASSETS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Company’s goodwill:</w:t>
      </w:r>
    </w:p>
    <w:tbl>
      <w:tblPr>
        <w:tblW w:w="9150" w:type="dxa"/>
        <w:jc w:val="left"/>
        <w:tblInd w:w="0" w:type="dxa"/>
        <w:tblLayout w:type="fixed"/>
        <w:tblCellMar>
          <w:top w:w="28" w:type="dxa"/>
          <w:left w:w="28" w:type="dxa"/>
          <w:bottom w:w="28" w:type="dxa"/>
          <w:right w:w="28" w:type="dxa"/>
        </w:tblCellMar>
      </w:tblPr>
      <w:tblGrid>
        <w:gridCol w:w="687"/>
        <w:gridCol w:w="606"/>
        <w:gridCol w:w="608"/>
        <w:gridCol w:w="246"/>
        <w:gridCol w:w="924"/>
        <w:gridCol w:w="136"/>
        <w:gridCol w:w="136"/>
        <w:gridCol w:w="136"/>
        <w:gridCol w:w="136"/>
        <w:gridCol w:w="246"/>
        <w:gridCol w:w="1093"/>
        <w:gridCol w:w="136"/>
        <w:gridCol w:w="136"/>
        <w:gridCol w:w="136"/>
        <w:gridCol w:w="136"/>
        <w:gridCol w:w="322"/>
        <w:gridCol w:w="1212"/>
        <w:gridCol w:w="179"/>
        <w:gridCol w:w="136"/>
        <w:gridCol w:w="136"/>
        <w:gridCol w:w="136"/>
        <w:gridCol w:w="246"/>
        <w:gridCol w:w="1093"/>
        <w:gridCol w:w="192"/>
      </w:tblGrid>
      <w:tr>
        <w:trPr/>
        <w:tc>
          <w:tcPr>
            <w:tcW w:w="68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DSA </w:t>
            </w:r>
            <w:r>
              <w:rPr>
                <w:rFonts w:ascii="Times New Roman;serif" w:hAnsi="Times New Roman;serif"/>
                <w:b/>
                <w:color w:val="000000"/>
                <w:sz w:val="10"/>
              </w:rPr>
              <w:t>(1)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Manufacturing </w:t>
            </w:r>
            <w:r>
              <w:rPr>
                <w:rFonts w:ascii="Times New Roman;serif" w:hAnsi="Times New Roman;serif"/>
                <w:b/>
                <w:color w:val="000000"/>
                <w:sz w:val="10"/>
              </w:rPr>
              <w:t>(2)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27, 2025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2,764,253 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Divestitures </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510,293 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1,957,403 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609,155 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3,076,851 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DSA includes accumulated impairment losses of $1 billion, which were recognized in fiscal years 2008 and 2010.</w:t>
            </w:r>
          </w:p>
        </w:tc>
      </w:tr>
      <w:tr>
        <w:trPr/>
        <w:tc>
          <w:tcPr>
            <w:tcW w:w="9150"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Manufacturing includes accumulated impairment losses of $380 million, which were recognized in fiscal years 2024 and 2025.</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goodwill during the six months ended June 27, 2026 is primarily related to the acquisition of the Cambodian NHP Supplier in the DSA reportable segment; partially offset by the European Discovery Divestiture in the DSA reportable segment and the effect of foreign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intangible assets, net by major class:</w:t>
      </w:r>
    </w:p>
    <w:tbl>
      <w:tblPr>
        <w:tblW w:w="10205" w:type="dxa"/>
        <w:jc w:val="left"/>
        <w:tblInd w:w="0" w:type="dxa"/>
        <w:tblLayout w:type="fixed"/>
        <w:tblCellMar>
          <w:top w:w="28" w:type="dxa"/>
          <w:left w:w="28" w:type="dxa"/>
          <w:bottom w:w="28" w:type="dxa"/>
          <w:right w:w="28" w:type="dxa"/>
        </w:tblCellMar>
      </w:tblPr>
      <w:tblGrid>
        <w:gridCol w:w="478"/>
        <w:gridCol w:w="420"/>
        <w:gridCol w:w="421"/>
        <w:gridCol w:w="196"/>
        <w:gridCol w:w="871"/>
        <w:gridCol w:w="109"/>
        <w:gridCol w:w="109"/>
        <w:gridCol w:w="109"/>
        <w:gridCol w:w="109"/>
        <w:gridCol w:w="240"/>
        <w:gridCol w:w="970"/>
        <w:gridCol w:w="133"/>
        <w:gridCol w:w="109"/>
        <w:gridCol w:w="109"/>
        <w:gridCol w:w="109"/>
        <w:gridCol w:w="196"/>
        <w:gridCol w:w="736"/>
        <w:gridCol w:w="109"/>
        <w:gridCol w:w="109"/>
        <w:gridCol w:w="109"/>
        <w:gridCol w:w="109"/>
        <w:gridCol w:w="196"/>
        <w:gridCol w:w="871"/>
        <w:gridCol w:w="109"/>
        <w:gridCol w:w="109"/>
        <w:gridCol w:w="109"/>
        <w:gridCol w:w="109"/>
        <w:gridCol w:w="230"/>
        <w:gridCol w:w="1067"/>
        <w:gridCol w:w="127"/>
        <w:gridCol w:w="109"/>
        <w:gridCol w:w="109"/>
        <w:gridCol w:w="109"/>
        <w:gridCol w:w="196"/>
        <w:gridCol w:w="736"/>
        <w:gridCol w:w="159"/>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Client relationships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(679,409)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(1,016,198)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309,581 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trade names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(799,668)</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(1,157,802)</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339,995 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intangible assets for the six months ended June 27, 2026 related primarily to the derecognition of certain intangible assets associated with the European Discovery Divestiture and CDMO and Cell Solutions Divestiture, and to a lesser extent normal amortization over the useful lives.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amortization expense of definite-lived intangible assets:</w:t>
      </w:r>
    </w:p>
    <w:tbl>
      <w:tblPr>
        <w:tblW w:w="7190" w:type="dxa"/>
        <w:jc w:val="left"/>
        <w:tblInd w:w="0" w:type="dxa"/>
        <w:tblLayout w:type="fixed"/>
        <w:tblCellMar>
          <w:top w:w="28" w:type="dxa"/>
          <w:left w:w="28" w:type="dxa"/>
          <w:bottom w:w="28" w:type="dxa"/>
          <w:right w:w="28" w:type="dxa"/>
        </w:tblCellMar>
      </w:tblPr>
      <w:tblGrid>
        <w:gridCol w:w="603"/>
        <w:gridCol w:w="529"/>
        <w:gridCol w:w="532"/>
        <w:gridCol w:w="232"/>
        <w:gridCol w:w="764"/>
        <w:gridCol w:w="129"/>
        <w:gridCol w:w="109"/>
        <w:gridCol w:w="109"/>
        <w:gridCol w:w="109"/>
        <w:gridCol w:w="232"/>
        <w:gridCol w:w="764"/>
        <w:gridCol w:w="129"/>
        <w:gridCol w:w="109"/>
        <w:gridCol w:w="109"/>
        <w:gridCol w:w="109"/>
        <w:gridCol w:w="232"/>
        <w:gridCol w:w="764"/>
        <w:gridCol w:w="129"/>
        <w:gridCol w:w="109"/>
        <w:gridCol w:w="109"/>
        <w:gridCol w:w="109"/>
        <w:gridCol w:w="211"/>
        <w:gridCol w:w="793"/>
        <w:gridCol w:w="16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the three and six months ended June 28, 2025 includes $35.5 million and $71.0 million of accelerated amortization expense as a result of a decrease in the remaining useful life of certain CDMO client relationships due to a loss of key customers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DEBT AND OTHER FINANCING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and finance leases consist of the following:</w:t>
      </w:r>
    </w:p>
    <w:tbl>
      <w:tblPr>
        <w:tblW w:w="6857" w:type="dxa"/>
        <w:jc w:val="left"/>
        <w:tblInd w:w="0" w:type="dxa"/>
        <w:tblLayout w:type="fixed"/>
        <w:tblCellMar>
          <w:top w:w="28" w:type="dxa"/>
          <w:left w:w="28" w:type="dxa"/>
          <w:bottom w:w="28" w:type="dxa"/>
          <w:right w:w="28" w:type="dxa"/>
        </w:tblCellMar>
      </w:tblPr>
      <w:tblGrid>
        <w:gridCol w:w="1381"/>
        <w:gridCol w:w="1209"/>
        <w:gridCol w:w="1220"/>
        <w:gridCol w:w="196"/>
        <w:gridCol w:w="871"/>
        <w:gridCol w:w="109"/>
        <w:gridCol w:w="109"/>
        <w:gridCol w:w="109"/>
        <w:gridCol w:w="109"/>
        <w:gridCol w:w="248"/>
        <w:gridCol w:w="1102"/>
        <w:gridCol w:w="194"/>
      </w:tblGrid>
      <w:tr>
        <w:trPr/>
        <w:tc>
          <w:tcPr>
            <w:tcW w:w="138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facility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616,503 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4.25% Senior Notes due 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3.75% Senior Notes due 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Senior Notes due 2031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7,842 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finance leases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2,152,221 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and finance leases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and finance leases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2,630,755 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2,148,827 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discount and 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and finance leases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2,619,985 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2,136,360 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27, 2026 and December 27, 2025, the weighted average interest rate on the Company’s debt was 4.08% and 4.05%,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revolving credit facility (Credit Facility) that provides for up to $2.0 billion of multi-currency revolving credit. The Credit Facility has a maturity date of December 2029, with no required scheduled payment before that date. The interest rates applicable to the Credit Facility are equal to (A) for revolving loans denominated in U.S. dollars, at the Company’s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the Company’s leverage ratio.</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27, 2026 and December 27, 2025, the Company had $21.7 million and $22.0 million, respectively, in outstanding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EQUITY AND NONCONTROLLING INTERESTS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Earnings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numerator and denominator in the computations of basic and diluted earnings (loss) per share:</w:t>
      </w:r>
    </w:p>
    <w:tbl>
      <w:tblPr>
        <w:tblW w:w="10205" w:type="dxa"/>
        <w:jc w:val="left"/>
        <w:tblInd w:w="0" w:type="dxa"/>
        <w:tblLayout w:type="fixed"/>
        <w:tblCellMar>
          <w:top w:w="28" w:type="dxa"/>
          <w:left w:w="28" w:type="dxa"/>
          <w:bottom w:w="28" w:type="dxa"/>
          <w:right w:w="28" w:type="dxa"/>
        </w:tblCellMar>
      </w:tblPr>
      <w:tblGrid>
        <w:gridCol w:w="1556"/>
        <w:gridCol w:w="1210"/>
        <w:gridCol w:w="1183"/>
        <w:gridCol w:w="299"/>
        <w:gridCol w:w="708"/>
        <w:gridCol w:w="161"/>
        <w:gridCol w:w="132"/>
        <w:gridCol w:w="132"/>
        <w:gridCol w:w="132"/>
        <w:gridCol w:w="263"/>
        <w:gridCol w:w="867"/>
        <w:gridCol w:w="145"/>
        <w:gridCol w:w="132"/>
        <w:gridCol w:w="132"/>
        <w:gridCol w:w="132"/>
        <w:gridCol w:w="251"/>
        <w:gridCol w:w="893"/>
        <w:gridCol w:w="139"/>
        <w:gridCol w:w="132"/>
        <w:gridCol w:w="132"/>
        <w:gridCol w:w="132"/>
        <w:gridCol w:w="261"/>
        <w:gridCol w:w="863"/>
        <w:gridCol w:w="218"/>
      </w:tblGrid>
      <w:tr>
        <w:trPr/>
        <w:tc>
          <w:tcPr>
            <w:tcW w:w="155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Numerator:</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52,326 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(16,325)</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77,795 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Denominator:</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 Basic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49,913 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 options, restricted stock units and performance share units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 Diluted</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49,316 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48,486 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50,089 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Anti-dilutive common stock equivalents </w:t>
            </w:r>
            <w:r>
              <w:rPr>
                <w:rFonts w:ascii="Times New Roman;serif" w:hAnsi="Times New Roman;serif"/>
                <w:b w:val="false"/>
                <w:color w:val="000000"/>
                <w:sz w:val="12"/>
              </w:rPr>
              <w:t>(1)(2)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sz w:val="4"/>
                <w:szCs w:val="4"/>
              </w:rPr>
            </w:pPr>
            <w:r>
              <w:rPr>
                <w:sz w:val="4"/>
                <w:szCs w:val="4"/>
              </w:rPr>
            </w:r>
          </w:p>
        </w:tc>
        <w:tc>
          <w:tcPr>
            <w:tcW w:w="6256"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Anti-dilutive common stock equivalents represent amounts outstanding related to employee stock options, RSUs and PSUs for all periods presented.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These common stock equivalents were outstanding for the periods presented, but were not included in the computation of diluted EPS for those periods because their inclusion would have had an anti-dilutive effect.</w:t>
            </w:r>
          </w:p>
        </w:tc>
      </w:tr>
    </w:tbl>
    <w:p>
      <w:pPr>
        <w:pStyle w:val="TextBody"/>
        <w:bidi w:val="0"/>
        <w:spacing w:lineRule="auto" w:line="288" w:before="12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Treasury Shares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29, 2025, the Company’s Board of Directors approved a stock repurchase program of $1.0 billion. During the six months ended June 27, 2026, the Company repurchased 1.7 million shares of common stock for $300.0 million under the stock repurchase program. As of June 27, 2026, the Company had $700.0 million remaining on the authorized stock repurchase program. </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The Company’s stock-based compensation plans permit the netting of common stock upon vesting of RSUs and PSUs in order to satisfy individual statutory tax withholding requirements. The Company acquired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shares during the </w:t>
      </w:r>
      <w:r>
        <w:rPr>
          <w:rFonts w:ascii="Times New Roman;serif" w:hAnsi="Times New Roman;serif"/>
          <w:b w:val="false"/>
          <w:color w:val="000000"/>
          <w:sz w:val="20"/>
        </w:rPr>
        <w:t>six months ended June 27, 2026 and 0.1 million shares in the six months ended June 28, 2025</w:t>
      </w:r>
      <w:r>
        <w:rPr>
          <w:rFonts w:ascii="Times New Roman;serif" w:hAnsi="Times New Roman;serif"/>
          <w:b w:val="false"/>
          <w:color w:val="000000"/>
          <w:sz w:val="20"/>
          <w:shd w:fill="FFFFFF" w:val="clear"/>
        </w:rPr>
        <w:t xml:space="preserve">, for $20.7 million and $9.9 million, respectively, from such netting.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to each component of accumulated other comprehensive income (loss), net of income taxes, are as follows:</w:t>
      </w:r>
    </w:p>
    <w:tbl>
      <w:tblPr>
        <w:tblW w:w="10205" w:type="dxa"/>
        <w:jc w:val="left"/>
        <w:tblInd w:w="0" w:type="dxa"/>
        <w:tblLayout w:type="fixed"/>
        <w:tblCellMar>
          <w:top w:w="28" w:type="dxa"/>
          <w:left w:w="28" w:type="dxa"/>
          <w:bottom w:w="28" w:type="dxa"/>
          <w:right w:w="28" w:type="dxa"/>
        </w:tblCellMar>
      </w:tblPr>
      <w:tblGrid>
        <w:gridCol w:w="1108"/>
        <w:gridCol w:w="937"/>
        <w:gridCol w:w="903"/>
        <w:gridCol w:w="428"/>
        <w:gridCol w:w="1753"/>
        <w:gridCol w:w="238"/>
        <w:gridCol w:w="109"/>
        <w:gridCol w:w="109"/>
        <w:gridCol w:w="109"/>
        <w:gridCol w:w="570"/>
        <w:gridCol w:w="1931"/>
        <w:gridCol w:w="321"/>
        <w:gridCol w:w="109"/>
        <w:gridCol w:w="109"/>
        <w:gridCol w:w="109"/>
        <w:gridCol w:w="109"/>
        <w:gridCol w:w="109"/>
        <w:gridCol w:w="196"/>
        <w:gridCol w:w="789"/>
        <w:gridCol w:w="159"/>
      </w:tblGrid>
      <w:tr>
        <w:trPr/>
        <w:tc>
          <w:tcPr>
            <w:tcW w:w="110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br/>
              <w:t xml:space="preserve">and 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471" w:type="dxa"/>
            <w:gridSpan w:val="6"/>
            <w:tcBorders/>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27, 2025</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(120,167)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(51,616)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2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 (loss)</w:t>
            </w:r>
          </w:p>
        </w:tc>
        <w:tc>
          <w:tcPr>
            <w:tcW w:w="2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(33,708)</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(31,921)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2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(145,743)</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(50,246)</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(195,989)</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color w:val="000000"/>
          <w:sz w:val="20"/>
        </w:rPr>
      </w:pPr>
      <w:r>
        <w:rPr>
          <w:rFonts w:ascii="Times New Roman;serif" w:hAnsi="Times New Roman;serif"/>
          <w:b/>
          <w:color w:val="000000"/>
          <w:sz w:val="20"/>
        </w:rPr>
        <w:t>Redeemable Noncontrolling Interests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held and continues to hold redeemable noncontrolling interests. Since the Company has the right to purchase, and the noncontrolling interest holders have the right to require the Company to purchase the remaining interest, which represents a derivative embedded within the equity instrument, the noncontrolling interest is classified in the mezzanine section of the unaudited condensed consolidated balance sheets, which is presented above the equity section and below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redeemable noncontrolling interests are measured at the greater of (i) the redemption amount or (ii) the historical value resulting from the original acquisition date fair value, increased or decreased for the noncontrolling interest’s share of net income (loss), equity capital contributions and distributions. The fair value of the redeemable noncontrolling interest is determined using the income approach, with key assumptions being projected cash flows and discount rates based on market participant’s weighted average cost of capital. To the extent redemption value exceeds carrying value, adjustments are recorded to additional paid-in capital, with any cumulative excess of redemption value over fair value recorded in retained earnings, which impacts net income (loss) attributable to common shareholders used in the calculation of earnings (loss) per common share.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Noveprim</w:t>
      </w:r>
    </w:p>
    <w:p>
      <w:pPr>
        <w:pStyle w:val="TextBody"/>
        <w:bidi w:val="0"/>
        <w:spacing w:lineRule="auto" w:line="288" w:before="120" w:after="120"/>
        <w:jc w:val="left"/>
        <w:rPr/>
      </w:pPr>
      <w:r>
        <w:rPr>
          <w:rFonts w:ascii="Times New Roman;serif" w:hAnsi="Times New Roman;serif"/>
          <w:b w:val="false"/>
          <w:color w:val="000000"/>
          <w:sz w:val="20"/>
        </w:rPr>
        <w:t xml:space="preserve">The Company holds a 90% ownership interest in Noveprim Group (Noveprim). The Company has the right to purchase, and the noncontrolling interest holders have the right to sell, the remaining 10% equity interest at a fixed redemption value that ranges from $47.0 million to $54.0 million depending on when exercised. The Company has the call option right to purchase the remaining 10% equity up until one month after the sixth anniversary of closing the 41% equity stake (December 2029). On the first anniversary of the expiration of the call option (December 2030), a 12-month put option will be triggered giving the seller the right to require the Company to acquire the remaining shares of the seller for $54.0 million. The redemption value is accreted to the put purchase price of $54.0 million using the interest method through December 2030. As of June 27, 2026, the redemption value of $42.5 million exceeded the carrying value, resulting in an adjustment to additional paid in capital of $5.2 million for the </w:t>
      </w:r>
      <w:r>
        <w:rPr>
          <w:rFonts w:ascii="Times New Roman;serif" w:hAnsi="Times New Roman;serif"/>
          <w:b w:val="false"/>
          <w:color w:val="000000"/>
          <w:sz w:val="20"/>
          <w:shd w:fill="FFFFFF" w:val="clear"/>
        </w:rPr>
        <w:t>six months ended June 27, 2026</w:t>
      </w:r>
      <w:r>
        <w:rPr>
          <w:rFonts w:ascii="Times New Roman;serif" w:hAnsi="Times New Roman;serif"/>
          <w:b w:val="false"/>
          <w:color w:val="000000"/>
          <w:sz w:val="20"/>
        </w:rPr>
        <w:t>. As of June 28, 2025, the redemption value of $40.0 million exceeded the carrying value, resulting in an adjustment to additional paid in capital of $3.7 million for the six months ended June 28,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Nonredeemable Noncontrolling Interest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an investment in an entity whose financial results are consolidated in the Company’s unaudited condensed consolidated financial statements, as it has the ability to exercise control over this entity. The interest of the noncontrolling party in this entity has been recorded as nonredeemable noncontrolling interest within Equity in the accompanying unaudited condensed consolidated balance sheets. The activity within the nonredeemable noncontrolling interest was not material during the three and six months ended June 27, 2026 and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were as follows:</w:t>
      </w:r>
    </w:p>
    <w:tbl>
      <w:tblPr>
        <w:tblW w:w="7686" w:type="dxa"/>
        <w:jc w:val="left"/>
        <w:tblInd w:w="0" w:type="dxa"/>
        <w:tblLayout w:type="fixed"/>
        <w:tblCellMar>
          <w:top w:w="28" w:type="dxa"/>
          <w:left w:w="28" w:type="dxa"/>
          <w:bottom w:w="28" w:type="dxa"/>
          <w:right w:w="28" w:type="dxa"/>
        </w:tblCellMar>
      </w:tblPr>
      <w:tblGrid>
        <w:gridCol w:w="761"/>
        <w:gridCol w:w="666"/>
        <w:gridCol w:w="673"/>
        <w:gridCol w:w="200"/>
        <w:gridCol w:w="662"/>
        <w:gridCol w:w="262"/>
        <w:gridCol w:w="109"/>
        <w:gridCol w:w="109"/>
        <w:gridCol w:w="109"/>
        <w:gridCol w:w="200"/>
        <w:gridCol w:w="662"/>
        <w:gridCol w:w="262"/>
        <w:gridCol w:w="109"/>
        <w:gridCol w:w="109"/>
        <w:gridCol w:w="109"/>
        <w:gridCol w:w="200"/>
        <w:gridCol w:w="662"/>
        <w:gridCol w:w="262"/>
        <w:gridCol w:w="109"/>
        <w:gridCol w:w="109"/>
        <w:gridCol w:w="109"/>
        <w:gridCol w:w="196"/>
        <w:gridCol w:w="736"/>
        <w:gridCol w:w="301"/>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38,790 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difference in the effective tax rate for the three and six months ended June 27, 2026 compared to the corresponding prior year period was primarily attributable to the tax effects of the European Discovery and CDMO and Cell Solutions Divestitures, non-deductible transaction costs, and higher accrued interest relating to acquired uncertain tax 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27, 2026, the Company’s unrecognized tax benefits increased by $0.1 million to $158.2 million, primarily due to increases from acquisitions, offset by decreases from divestitures. For the three months ended June 27, 2026, the amount of unrecognized income tax benefits that would impact the effective tax rate increased by $0.1 million to $153.3 million for the same reasons discussed above. The accrued interest and penalties on unrecognized tax benefits were $32.7 million and $34.2 million, respectively, as of June 27,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prepaid and accrued tax positions are as follows:</w:t>
      </w:r>
    </w:p>
    <w:tbl>
      <w:tblPr>
        <w:tblW w:w="10205" w:type="dxa"/>
        <w:jc w:val="left"/>
        <w:tblInd w:w="0" w:type="dxa"/>
        <w:tblLayout w:type="fixed"/>
        <w:tblCellMar>
          <w:top w:w="28" w:type="dxa"/>
          <w:left w:w="28" w:type="dxa"/>
          <w:bottom w:w="28" w:type="dxa"/>
          <w:right w:w="28" w:type="dxa"/>
        </w:tblCellMar>
      </w:tblPr>
      <w:tblGrid>
        <w:gridCol w:w="585"/>
        <w:gridCol w:w="511"/>
        <w:gridCol w:w="515"/>
        <w:gridCol w:w="210"/>
        <w:gridCol w:w="791"/>
        <w:gridCol w:w="116"/>
        <w:gridCol w:w="109"/>
        <w:gridCol w:w="109"/>
        <w:gridCol w:w="109"/>
        <w:gridCol w:w="276"/>
        <w:gridCol w:w="1038"/>
        <w:gridCol w:w="153"/>
        <w:gridCol w:w="109"/>
        <w:gridCol w:w="109"/>
        <w:gridCol w:w="109"/>
        <w:gridCol w:w="1566"/>
        <w:gridCol w:w="1566"/>
        <w:gridCol w:w="2224"/>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Affected Line Item in the Unaudited Condensed Consolidated Balance Sheets</w:t>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2022.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and certain of its subsidiaries have ongoing tax controversies in the U.S., Canada, France, Ireland, the U.K., and India. The Company does not anticipate resolution of these audits will have a material impact on its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RESTRUCTURING AND ASSET IMPAIRMENTS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undertaken restructuring actions within each of its reportable segments which include right-sizing the infrastructure, optimizing operations, and driving efficiency. This includes workforce right-sizing actions resulting in severance and transition costs; and costs related to the consolidation of facilities resulting in long-lived asset impairments (principally property, plant, and equipment and right-of-use assets), accelerated depreciation charges, and certain other costs. Generally, these actions are in response to recent macroeconomic impacts on the Company.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restructuring costs by reportable segment:</w:t>
      </w:r>
    </w:p>
    <w:tbl>
      <w:tblPr>
        <w:tblW w:w="7190" w:type="dxa"/>
        <w:jc w:val="left"/>
        <w:tblInd w:w="0" w:type="dxa"/>
        <w:tblLayout w:type="fixed"/>
        <w:tblCellMar>
          <w:top w:w="28" w:type="dxa"/>
          <w:left w:w="28" w:type="dxa"/>
          <w:bottom w:w="28" w:type="dxa"/>
          <w:right w:w="28" w:type="dxa"/>
        </w:tblCellMar>
      </w:tblPr>
      <w:tblGrid>
        <w:gridCol w:w="601"/>
        <w:gridCol w:w="527"/>
        <w:gridCol w:w="536"/>
        <w:gridCol w:w="232"/>
        <w:gridCol w:w="764"/>
        <w:gridCol w:w="129"/>
        <w:gridCol w:w="109"/>
        <w:gridCol w:w="109"/>
        <w:gridCol w:w="109"/>
        <w:gridCol w:w="232"/>
        <w:gridCol w:w="764"/>
        <w:gridCol w:w="129"/>
        <w:gridCol w:w="109"/>
        <w:gridCol w:w="109"/>
        <w:gridCol w:w="109"/>
        <w:gridCol w:w="232"/>
        <w:gridCol w:w="764"/>
        <w:gridCol w:w="129"/>
        <w:gridCol w:w="109"/>
        <w:gridCol w:w="109"/>
        <w:gridCol w:w="109"/>
        <w:gridCol w:w="230"/>
        <w:gridCol w:w="759"/>
        <w:gridCol w:w="181"/>
      </w:tblGrid>
      <w:tr>
        <w:trPr/>
        <w:tc>
          <w:tcPr>
            <w:tcW w:w="6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RMS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DSA</w:t>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16,076 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33,618 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w:t>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32,200 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56,045 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restructuring costs as included within the Company’s unaudited condensed consolidated statements of income:</w:t>
      </w:r>
    </w:p>
    <w:tbl>
      <w:tblPr>
        <w:tblW w:w="10205" w:type="dxa"/>
        <w:jc w:val="left"/>
        <w:tblInd w:w="0" w:type="dxa"/>
        <w:tblLayout w:type="fixed"/>
        <w:tblCellMar>
          <w:top w:w="28" w:type="dxa"/>
          <w:left w:w="28" w:type="dxa"/>
          <w:bottom w:w="28" w:type="dxa"/>
          <w:right w:w="28" w:type="dxa"/>
        </w:tblCellMar>
      </w:tblPr>
      <w:tblGrid>
        <w:gridCol w:w="876"/>
        <w:gridCol w:w="438"/>
        <w:gridCol w:w="442"/>
        <w:gridCol w:w="252"/>
        <w:gridCol w:w="715"/>
        <w:gridCol w:w="140"/>
        <w:gridCol w:w="109"/>
        <w:gridCol w:w="109"/>
        <w:gridCol w:w="109"/>
        <w:gridCol w:w="264"/>
        <w:gridCol w:w="874"/>
        <w:gridCol w:w="148"/>
        <w:gridCol w:w="109"/>
        <w:gridCol w:w="109"/>
        <w:gridCol w:w="109"/>
        <w:gridCol w:w="196"/>
        <w:gridCol w:w="646"/>
        <w:gridCol w:w="109"/>
        <w:gridCol w:w="109"/>
        <w:gridCol w:w="109"/>
        <w:gridCol w:w="109"/>
        <w:gridCol w:w="243"/>
        <w:gridCol w:w="803"/>
        <w:gridCol w:w="135"/>
        <w:gridCol w:w="109"/>
        <w:gridCol w:w="109"/>
        <w:gridCol w:w="109"/>
        <w:gridCol w:w="264"/>
        <w:gridCol w:w="874"/>
        <w:gridCol w:w="148"/>
        <w:gridCol w:w="109"/>
        <w:gridCol w:w="109"/>
        <w:gridCol w:w="109"/>
        <w:gridCol w:w="196"/>
        <w:gridCol w:w="646"/>
        <w:gridCol w:w="161"/>
      </w:tblGrid>
      <w:tr>
        <w:trPr/>
        <w:tc>
          <w:tcPr>
            <w:tcW w:w="87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Severance and Transition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Impairments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Severance and Transition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Impairments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provided (excluding amortization of intangible assets)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 (excluding amortization of intangible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costs</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20,804 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3,727 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28,473 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32,200 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provided (excluding amortization of intangible assets)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 (excluding amortization of intangible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costs</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8,471 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46,166 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12,141 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43,904 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56,045 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Rollforward of Restructuring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for the Company’s accrued restructuring costs related to all restructuring activities:</w:t>
      </w:r>
    </w:p>
    <w:tbl>
      <w:tblPr>
        <w:tblW w:w="9263" w:type="dxa"/>
        <w:jc w:val="left"/>
        <w:tblInd w:w="0" w:type="dxa"/>
        <w:tblLayout w:type="fixed"/>
        <w:tblCellMar>
          <w:top w:w="28" w:type="dxa"/>
          <w:left w:w="28" w:type="dxa"/>
          <w:bottom w:w="28" w:type="dxa"/>
          <w:right w:w="28" w:type="dxa"/>
        </w:tblCellMar>
      </w:tblPr>
      <w:tblGrid>
        <w:gridCol w:w="900"/>
        <w:gridCol w:w="791"/>
        <w:gridCol w:w="798"/>
        <w:gridCol w:w="491"/>
        <w:gridCol w:w="1620"/>
        <w:gridCol w:w="273"/>
        <w:gridCol w:w="109"/>
        <w:gridCol w:w="109"/>
        <w:gridCol w:w="109"/>
        <w:gridCol w:w="396"/>
        <w:gridCol w:w="822"/>
        <w:gridCol w:w="221"/>
        <w:gridCol w:w="109"/>
        <w:gridCol w:w="109"/>
        <w:gridCol w:w="109"/>
        <w:gridCol w:w="263"/>
        <w:gridCol w:w="565"/>
        <w:gridCol w:w="146"/>
        <w:gridCol w:w="109"/>
        <w:gridCol w:w="109"/>
        <w:gridCol w:w="109"/>
        <w:gridCol w:w="196"/>
        <w:gridCol w:w="646"/>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Severance and Transition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27, 2026</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Expense</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 utilization</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(15,794)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adjustments</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15,568 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28, 2025</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24,469 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Expense</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 utilization</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adjustments</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27, 2026 and December 27, 2025, $15.6 million and $23.0 million, respectively, of severance and other personnel related costs liabilities were included in accrued compensation and accrued liabilities within the Company’s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then current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2024, the plaintiff filed a notice of appeal in the United States Court of Appeals for the First Circuit. Oral arguments took place on May 5, 2025. On August 15, 2025, the U.S. Court of Appeals for the First Circuit reversed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statutory standing, and substitute Oklahoma Firefighters Pension and Retirement System.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then current Chief Executive Officer; David R. Smith, a former Chief Financial Officer; and Flavia Pease, the then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Aside from the matters above, the Company believes there are no other matters pending against the Company that could have a material impact on the Company’s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our unaudited condensed consolidated financial statements and related notes of this Quarterly Report on Form 10-Q and our audited consolidated financial statements and related notes included in our Annual Report on Form 10-K for fiscal year 2025 as filed with the SEC on February 18, 2026.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included elsewhere within this Form 10-Q. Certain percentage changes may not recalculate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 leading, full service, non-clinical global drug development partner. For over 75 years, we have been in the business of providing the research models required in the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three reportable segments are Research Models and Services (RMS), Discovery and Safety Assessment (DSA), and Manufacturing Solutions (Manufacturing).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RMS reportable segment includes the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our clients’ research operations (including recruitment, training, staffing, and management services) within our clients’ facilities as well as our own vivarium space, utilizing our Charles River Accelerator and Development Lab (CRADL™) offerings, Genetically Engineered Models and Services (GEMS), which performs contract breeding and other services associated with genetically engineered models; and Research Animal Diagnostic Services (RADS), which provides health monitoring and diagnostics services related to research models. In May 2026, we sold the Cell Solutions business, reported in the RMS segment, which provided controlled, consistent, customized primary cells and blood components derived from normal and mobilized peripheral blood and bone marrow as well as cells from disease state donors.</w:t>
      </w:r>
    </w:p>
    <w:p>
      <w:pPr>
        <w:pStyle w:val="TextBody"/>
        <w:bidi w:val="0"/>
        <w:spacing w:lineRule="auto" w:line="288" w:before="120" w:after="120"/>
        <w:jc w:val="left"/>
        <w:rPr/>
      </w:pPr>
      <w:r>
        <w:rPr>
          <w:rFonts w:ascii="Times New Roman;serif" w:hAnsi="Times New Roman;serif"/>
          <w:b w:val="false"/>
          <w:color w:val="000000"/>
          <w:sz w:val="20"/>
        </w:rPr>
        <w:t xml:space="preserve">Our DSA segment is comprised of Discovery and Safety Assessment services. We provide regulated and non-regulated DSA services to support the discovery, development, and regulatory-required safety testing of potential new drugs, including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(non-animal),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(in research models) and </w:t>
      </w:r>
      <w:r>
        <w:rPr>
          <w:rFonts w:ascii="Times New Roman;serif" w:hAnsi="Times New Roman;serif"/>
          <w:b w:val="false"/>
          <w:i/>
          <w:color w:val="000000"/>
          <w:sz w:val="20"/>
        </w:rPr>
        <w:t>in silico</w:t>
      </w:r>
      <w:r>
        <w:rPr>
          <w:color w:val="000000"/>
        </w:rPr>
        <w:t xml:space="preserve"> </w:t>
      </w:r>
      <w:r>
        <w:rPr>
          <w:rFonts w:ascii="Times New Roman;serif" w:hAnsi="Times New Roman;serif"/>
          <w:b w:val="false"/>
          <w:color w:val="000000"/>
          <w:sz w:val="20"/>
        </w:rPr>
        <w:t>studies, laboratory support services, including bioanalytical and strategic non-clinical consulting and program management to support product development. In May 2026, we sold certain European Discovery Services businesses.</w:t>
      </w:r>
    </w:p>
    <w:p>
      <w:pPr>
        <w:pStyle w:val="TextBody"/>
        <w:bidi w:val="0"/>
        <w:spacing w:lineRule="auto" w:line="288" w:before="120" w:after="120"/>
        <w:jc w:val="left"/>
        <w:rPr/>
      </w:pPr>
      <w:r>
        <w:rPr>
          <w:rFonts w:ascii="Times New Roman;serif" w:hAnsi="Times New Roman;serif"/>
          <w:b w:val="false"/>
          <w:color w:val="000000"/>
          <w:sz w:val="20"/>
        </w:rPr>
        <w:t xml:space="preserve">Our Manufacturing reportable segment includes Microbial Solutions, which provides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lot-release testing products, microbial detection products, and species identification services and Biologics Solutions (Biologics), which performs specialized testing of biologics (Biologics Testing Solutions). In May 2026, we sold the contract development and manufacturing products and services (CDMO) business, reported in the Manufacturing segment.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Fiscal Quarters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fiscal year is typically based on 52 weeks, with each quarter composed of 13 weeks ending on the last Saturday on, or closest to, March 31, June 30, September 30, and December 31. A 53rd week in the fourth quarter of the fiscal year is occasionally necessary to align with a December 31 calendar year-end.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Global Market Environment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continuing to see a cautious, but improving, spending environment from our client base, principally within our DSA segment as the challenging demand environment experienced in the recent prior quarters has persisted. As we continue to navigate these challenges in the current macroeconomic environment, DSA backlog increased slightly to $2.0 billion as of June 27, 2026 from $1.9 billion as of December 27,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response to recent trends, we continue to implement cost savings initiatives focused on driving greater efficiencies, as well as restructuring actions that have been implemented over the past three years that were focused on workforce right-sizing and site optimization. More recently, efficiency initiatives have targeted incremental savings through process improvements, procurement synergies, and implementation of a global business services model. Collectively, these actions are expected to generate approximately $300 million in cumulative, annualized cost savings by the end of 2026, of which more than $175 million benefitted fiscal year 2025. Workforce right-sizing actions resulted in severance and transition costs while costs related to the consolidation of facilities to optimize our global footprint and drive greater operating efficiency across the company resulted in asset impairments, accelerated depreciation, and other site consolidation charges. We incurred restructuring charges of $23.1 million and $54.6 million during the three and six months ended June 27, 2026, and $99.8 million and $107.0 million during the fiscal years 2025 and 2024, respectively.</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Recent Acquisitions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make strategic acquisitions designed to expand our portfolio of products and services to support the drug discovery and development continuum. We maintain an acquisition strategy that focuses on augmenting internal growth of existing businesses with complementary acquisitions. Our recent transactions are described below.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17, 2026, we completed the acquisition of an additional 79% equity interest in PathoQuest SAS (PathoQuest), for $67.6 million. The acquisition was funded through a combination of available cash and proceeds from the Credit Facility. This business is reported as part of our Manufacturing reportable segment. For more details, please see Note 2 – Acquisitions and Divestitures in Part I, Item 1.</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14, 2026, we completed the acquisition of certain assets of K.F. Cambodia Ltd (Cambodian NHP Supplier), a leading supplier of non-human primates (NHPs) located in Cambodia. The preliminary purchase price for the Cambodian NHP Supplier was $507.3 million, consisting of $335.0 million paid at closing and $172.3 million representing the acquisition date fair value of deferred consideration, which is payable upon the satisfaction of certain post-close conditions. As of June 27, 2026, $105.0 million of deferred consideration remains to be paid which is recorded in Accrued liabilities on the unaudited condensed consolidated balance sheets. The acquisition was funded through a combination of available cash and proceeds from our Credit Facility. This business is reported as part of our DSA reportable segment for NHPs vertically integrated into the DSA supply chain and the RMS reportable segment for those NHPs sold to third party customers. For more details, please see Note 2 – Acquisitions and Divestitures in Part I, Item 1.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Recent Divestitures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routinely evaluate the strategic fit and fundamental performance of our global businesses, divesting operations that do not meet key business criteria. As part of this ongoing assessment, we determined that certain capital could be better deployed in other long-term growth opportunities.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22, 2026, we sold certain European Discovery Services businesses (European Discovery Divestiture) to IQVIA Inc. (IQVIA) for a preliminary purchase price of $125.2 million in cash, net of costs to sell and subject to certain customary closing adjustments. We may also earn up to $10.0 million of contingent payments, which are tied to future performance. The contingent payments have been valued at $2.8 million using a discounted probability weighted model. The results of the European Discovery Services businesses were reported in our DSA reportable segment. During the three and six months ended June 27, 2026, we recorded a gain on the divestiture of $0.3 million within Other (expense) income, net on the unaudited condensed consolidated statements of income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6, 2026, we sold our CDMO and Cell Solutions businesses (CDMO and Cell Solutions Divestiture) to GI Partners (GI) for net cash paid to the buyer of $12.4 million, net of costs to sell and subject to certain customary closing adjustments. Additionally, we may be required to fund up to $45.0 million of future EBITDA losses and capital expenditures of the divested businesses over a four year period, which is expected to be fully used by GI. Conversely, we may also earn up to $50.0 million of contingent payments, which are tied to future performance and achievement of milestones. The contingent payments receivable have been valued at $15.7 million using a discounted probability weighted model. The results of the CDMO and Cell Solutions businesses were reported in our Manufacturing reportable segment and RMS reportable segment, respectively. During the three and six months ended June 27, 2026, we recorded a loss on the divestiture of $63.7 million and $181.7 million, respectively, within Other (expense) income, net on the unaudited condensed consolidated statements of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March 2026, we completed the sale of certain assets located at our Wilmington, Massachusetts site. The assets consisted of office, laboratory and mixed-use buildings within our RMS segment and unallocated corporate, and was sold to an unrelated third party for cash consideration of $60.1 million, net of costs to sell. In conjunction with the sale, we entered into a long-term operating lease for certain buildings to support RMS and unallocated corporate operations. Upon meeting the criteria for sale leaseback, we derecognized the book value of $21.6 million and recognized a pre-tax gain of approximately $38.5 million. The gain was recognized within our RMS reportable segment and unallocated corporate for $23.2 million and $15.3 million, respectively, and is included in Selling, general and administrative expenses within the unaudited condensed consolidated statements of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Consolidated Results of Operations and 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the three months ended June 27, 2026 decreased $28.1 million, or 2.7%, to $1,004.1 million compared to $1,032.1 million in the corresponding period in 2025. Revenue for the six months ended June 27, 2026 decreased $16.4 million, or 0.8%, to $1,999.9 million compared to $2,016.3 million in the corresponding period in 2025. The decrease in revenue for both the three and six months ended June 27, 2026 was primarily due to a decrease in Manufacturing revenue driven by the sale of our CDMO business and DSA revenue driven by the European Discovery Divestiture, and to a lesser extent RMS revenue, due to decreased cell supply revenue, compared to the corresponding period in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27, 2026, our operating income and operating income as a percentage of revenue were $119.9 million and 11.9% respectively, compared to $100.1 million and 9.7% respectively, in the corresponding period of 2025. For the six months ended June 27, 2026, our operating income and operating income as a percentage of revenue were $239.8 million and 12.0% respectively, compared to $174.8 million and 8.7% respectively, in the corresponding period of 2025. The increases in operating income and operating income as a percentage of revenue for the three and six months ended June 27, 2026 were primarily driven by the gain on sale of certain assets at our Wilmington, Massachusetts site in the first quarter of 2026, lower accelerated amortization expense, and certain third-party legal costs incurred in fiscal year 2025; partially offset by the decrease in revenue described above and higher acquisition, integration and divestiture costs, when compared to the corresponding period in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loss attributable to Charles River Laboratories International, Inc., common shareholders was $1.5 million in the three months ended June 27, 2026, compared to Net income attributable to Charles River Laboratories International Inc., common shareholders of $52.3 million in the corresponding period of 2025. Net loss attributable to Charles River Laboratories International, Inc., common shareholders was $16.3 million in the six months ended June 27, 2026, compared to Net income attributable to Charles River Laboratories International Inc., common shareholders of $77.8 million in the corresponding period of 2025. The decrease of $53.8 million for the three months ended June 27, 2026 was due principally to the CDMO and Cell Solutions Divestiture loss of $63.7 million recognized in the second quarter of 2026, partially offset by the increase in operating income described above, compared to the corresponding period in 2025. The decrease of $94.1 million for the six months ended June 27, 2026 was due principally to the CDMO and Cell Solutions Divestiture loss of $181.7 million recognized in the first half of 2026, partially offset by the increase in operating income described above, compared to the corresponding period in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27, 2026, our cash flows from operations were $220.8 million compared with $376.3 million for the same period in 2025. The decrease was primarily related to higher payments of variable compensation, specifically annual incentive based bonuses paid during the first quarter, as well as higher acquisition, integration and divestiture-related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Three Months Ended June 27, 2026 Compared to the Three Months Ended June 28,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and Operating Income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consolidated revenue by type and by reportable segment:</w:t>
      </w:r>
    </w:p>
    <w:tbl>
      <w:tblPr>
        <w:tblW w:w="7230" w:type="dxa"/>
        <w:jc w:val="left"/>
        <w:tblInd w:w="0" w:type="dxa"/>
        <w:tblLayout w:type="fixed"/>
        <w:tblCellMar>
          <w:top w:w="28" w:type="dxa"/>
          <w:left w:w="28" w:type="dxa"/>
          <w:bottom w:w="28" w:type="dxa"/>
          <w:right w:w="28" w:type="dxa"/>
        </w:tblCellMar>
      </w:tblPr>
      <w:tblGrid>
        <w:gridCol w:w="462"/>
        <w:gridCol w:w="405"/>
        <w:gridCol w:w="407"/>
        <w:gridCol w:w="196"/>
        <w:gridCol w:w="871"/>
        <w:gridCol w:w="109"/>
        <w:gridCol w:w="109"/>
        <w:gridCol w:w="109"/>
        <w:gridCol w:w="109"/>
        <w:gridCol w:w="196"/>
        <w:gridCol w:w="871"/>
        <w:gridCol w:w="109"/>
        <w:gridCol w:w="109"/>
        <w:gridCol w:w="109"/>
        <w:gridCol w:w="109"/>
        <w:gridCol w:w="196"/>
        <w:gridCol w:w="721"/>
        <w:gridCol w:w="109"/>
        <w:gridCol w:w="109"/>
        <w:gridCol w:w="109"/>
        <w:gridCol w:w="109"/>
        <w:gridCol w:w="224"/>
        <w:gridCol w:w="226"/>
        <w:gridCol w:w="448"/>
        <w:gridCol w:w="109"/>
        <w:gridCol w:w="109"/>
        <w:gridCol w:w="109"/>
        <w:gridCol w:w="109"/>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1,032,135 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80" w:type="dxa"/>
        <w:jc w:val="left"/>
        <w:tblInd w:w="0" w:type="dxa"/>
        <w:tblLayout w:type="fixed"/>
        <w:tblCellMar>
          <w:top w:w="28" w:type="dxa"/>
          <w:left w:w="28" w:type="dxa"/>
          <w:bottom w:w="28" w:type="dxa"/>
          <w:right w:w="28" w:type="dxa"/>
        </w:tblCellMar>
      </w:tblPr>
      <w:tblGrid>
        <w:gridCol w:w="423"/>
        <w:gridCol w:w="371"/>
        <w:gridCol w:w="377"/>
        <w:gridCol w:w="196"/>
        <w:gridCol w:w="871"/>
        <w:gridCol w:w="109"/>
        <w:gridCol w:w="109"/>
        <w:gridCol w:w="109"/>
        <w:gridCol w:w="109"/>
        <w:gridCol w:w="196"/>
        <w:gridCol w:w="871"/>
        <w:gridCol w:w="109"/>
        <w:gridCol w:w="109"/>
        <w:gridCol w:w="109"/>
        <w:gridCol w:w="109"/>
        <w:gridCol w:w="196"/>
        <w:gridCol w:w="721"/>
        <w:gridCol w:w="109"/>
        <w:gridCol w:w="109"/>
        <w:gridCol w:w="109"/>
        <w:gridCol w:w="109"/>
        <w:gridCol w:w="224"/>
        <w:gridCol w:w="226"/>
        <w:gridCol w:w="448"/>
        <w:gridCol w:w="109"/>
        <w:gridCol w:w="109"/>
        <w:gridCol w:w="109"/>
        <w:gridCol w:w="235"/>
        <w:gridCol w:w="235"/>
        <w:gridCol w:w="655"/>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DSA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1,004,078 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1,032,135 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income by reportable segment:</w:t>
      </w:r>
    </w:p>
    <w:tbl>
      <w:tblPr>
        <w:tblW w:w="9134" w:type="dxa"/>
        <w:jc w:val="left"/>
        <w:tblInd w:w="0" w:type="dxa"/>
        <w:tblLayout w:type="fixed"/>
        <w:tblCellMar>
          <w:top w:w="28" w:type="dxa"/>
          <w:left w:w="28" w:type="dxa"/>
          <w:bottom w:w="28" w:type="dxa"/>
          <w:right w:w="28" w:type="dxa"/>
        </w:tblCellMar>
      </w:tblPr>
      <w:tblGrid>
        <w:gridCol w:w="856"/>
        <w:gridCol w:w="751"/>
        <w:gridCol w:w="763"/>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78"/>
        <w:gridCol w:w="278"/>
        <w:gridCol w:w="448"/>
        <w:gridCol w:w="109"/>
        <w:gridCol w:w="109"/>
        <w:gridCol w:w="109"/>
        <w:gridCol w:w="235"/>
        <w:gridCol w:w="235"/>
        <w:gridCol w:w="655"/>
      </w:tblGrid>
      <w:tr>
        <w:trPr/>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DSA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119,888 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100,134 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of revenue</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presents and discusses our consolidated financial results by each of our reportable segments: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RMS</w:t>
      </w:r>
    </w:p>
    <w:tbl>
      <w:tblPr>
        <w:tblW w:w="10205" w:type="dxa"/>
        <w:jc w:val="left"/>
        <w:tblInd w:w="0" w:type="dxa"/>
        <w:tblLayout w:type="fixed"/>
        <w:tblCellMar>
          <w:top w:w="28" w:type="dxa"/>
          <w:left w:w="28" w:type="dxa"/>
          <w:bottom w:w="28" w:type="dxa"/>
          <w:right w:w="28" w:type="dxa"/>
        </w:tblCellMar>
      </w:tblPr>
      <w:tblGrid>
        <w:gridCol w:w="1316"/>
        <w:gridCol w:w="1132"/>
        <w:gridCol w:w="1142"/>
        <w:gridCol w:w="196"/>
        <w:gridCol w:w="736"/>
        <w:gridCol w:w="256"/>
        <w:gridCol w:w="109"/>
        <w:gridCol w:w="109"/>
        <w:gridCol w:w="109"/>
        <w:gridCol w:w="196"/>
        <w:gridCol w:w="736"/>
        <w:gridCol w:w="256"/>
        <w:gridCol w:w="109"/>
        <w:gridCol w:w="109"/>
        <w:gridCol w:w="109"/>
        <w:gridCol w:w="196"/>
        <w:gridCol w:w="616"/>
        <w:gridCol w:w="109"/>
        <w:gridCol w:w="109"/>
        <w:gridCol w:w="109"/>
        <w:gridCol w:w="109"/>
        <w:gridCol w:w="260"/>
        <w:gridCol w:w="264"/>
        <w:gridCol w:w="448"/>
        <w:gridCol w:w="109"/>
        <w:gridCol w:w="109"/>
        <w:gridCol w:w="109"/>
        <w:gridCol w:w="235"/>
        <w:gridCol w:w="211"/>
        <w:gridCol w:w="592"/>
      </w:tblGrid>
      <w:tr>
        <w:trPr/>
        <w:tc>
          <w:tcPr>
            <w:tcW w:w="131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36,277 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of revenue</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RMS revenue decreased $3.8 million primarily driven by the divestiture of the Cell Solutions business, a decrease in service revenue and small research model product revenue in North America; partially offset by increases in small research model product revenue in China, and the effect of changes in foreign currency exchange rates compared to the corresponding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RMS operating income increased $0.5 million compared to the corresponding period in 2025. RMS operating income as a percentage of revenue for the three months ended June 27, 2026 was 17.3%, an increase of 50 bps from 16.8% for the corresponding period in 2025. Operating income and operating income as a percentage of revenue increased primarily due to a decrease in amortization of intangible assets related to the sale of the Cell Solutions business; partially offset with a decrease in revenue described above, specifically due to lower sales volume and an unfavorable geographic mix, compared to the corresponding period in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DSA</w:t>
      </w:r>
    </w:p>
    <w:tbl>
      <w:tblPr>
        <w:tblW w:w="10205" w:type="dxa"/>
        <w:jc w:val="left"/>
        <w:tblInd w:w="0" w:type="dxa"/>
        <w:tblLayout w:type="fixed"/>
        <w:tblCellMar>
          <w:top w:w="28" w:type="dxa"/>
          <w:left w:w="28" w:type="dxa"/>
          <w:bottom w:w="28" w:type="dxa"/>
          <w:right w:w="28" w:type="dxa"/>
        </w:tblCellMar>
      </w:tblPr>
      <w:tblGrid>
        <w:gridCol w:w="1288"/>
        <w:gridCol w:w="1105"/>
        <w:gridCol w:w="1115"/>
        <w:gridCol w:w="196"/>
        <w:gridCol w:w="736"/>
        <w:gridCol w:w="256"/>
        <w:gridCol w:w="109"/>
        <w:gridCol w:w="109"/>
        <w:gridCol w:w="109"/>
        <w:gridCol w:w="196"/>
        <w:gridCol w:w="736"/>
        <w:gridCol w:w="256"/>
        <w:gridCol w:w="109"/>
        <w:gridCol w:w="109"/>
        <w:gridCol w:w="109"/>
        <w:gridCol w:w="196"/>
        <w:gridCol w:w="704"/>
        <w:gridCol w:w="109"/>
        <w:gridCol w:w="109"/>
        <w:gridCol w:w="109"/>
        <w:gridCol w:w="109"/>
        <w:gridCol w:w="260"/>
        <w:gridCol w:w="263"/>
        <w:gridCol w:w="448"/>
        <w:gridCol w:w="109"/>
        <w:gridCol w:w="109"/>
        <w:gridCol w:w="109"/>
        <w:gridCol w:w="235"/>
        <w:gridCol w:w="213"/>
        <w:gridCol w:w="585"/>
      </w:tblGrid>
      <w:tr>
        <w:trPr/>
        <w:tc>
          <w:tcPr>
            <w:tcW w:w="128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7"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606,507 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618,029 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124,399 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122,781 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of revenue</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DSA revenue decreased $11.5 million due primarily to the sale of certain European Discovery Services businesses; partially offset by higher revenue for regulated safety assessment services and the effect of changes in foreign currency exchange rates compared to the corresponding period in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DSA operating income increased $1.6 million during the three months ended June 27, 2026 compared to the corresponding period in 2025. DSA operating income as a percentage of revenue for the three months ended June 27, 2026 was 20.5%, an increase of 60 bps from 19.9% for the corresponding period in 2025. Operating income and operating income as a percentage of revenue increased primarily due to the decrease in amortization of intangible assets related to the European Discovery Divestiture, lower third-party legal costs associated with the investigations by the U.S. government into the NHP supply chain, and lower asset impairments recognized within Cost of revenue; partially offset with the decrease in revenue described above, compared to the corresponding period in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Manufacturing</w:t>
      </w:r>
    </w:p>
    <w:tbl>
      <w:tblPr>
        <w:tblW w:w="10205" w:type="dxa"/>
        <w:jc w:val="left"/>
        <w:tblInd w:w="0" w:type="dxa"/>
        <w:tblLayout w:type="fixed"/>
        <w:tblCellMar>
          <w:top w:w="28" w:type="dxa"/>
          <w:left w:w="28" w:type="dxa"/>
          <w:bottom w:w="28" w:type="dxa"/>
          <w:right w:w="28" w:type="dxa"/>
        </w:tblCellMar>
      </w:tblPr>
      <w:tblGrid>
        <w:gridCol w:w="1280"/>
        <w:gridCol w:w="1097"/>
        <w:gridCol w:w="1107"/>
        <w:gridCol w:w="196"/>
        <w:gridCol w:w="736"/>
        <w:gridCol w:w="256"/>
        <w:gridCol w:w="109"/>
        <w:gridCol w:w="109"/>
        <w:gridCol w:w="109"/>
        <w:gridCol w:w="196"/>
        <w:gridCol w:w="736"/>
        <w:gridCol w:w="256"/>
        <w:gridCol w:w="109"/>
        <w:gridCol w:w="109"/>
        <w:gridCol w:w="109"/>
        <w:gridCol w:w="196"/>
        <w:gridCol w:w="704"/>
        <w:gridCol w:w="109"/>
        <w:gridCol w:w="109"/>
        <w:gridCol w:w="109"/>
        <w:gridCol w:w="109"/>
        <w:gridCol w:w="276"/>
        <w:gridCol w:w="280"/>
        <w:gridCol w:w="448"/>
        <w:gridCol w:w="109"/>
        <w:gridCol w:w="109"/>
        <w:gridCol w:w="109"/>
        <w:gridCol w:w="235"/>
        <w:gridCol w:w="208"/>
        <w:gridCol w:w="581"/>
      </w:tblGrid>
      <w:tr>
        <w:trPr/>
        <w:tc>
          <w:tcPr>
            <w:tcW w:w="128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3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65,606 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of revenue</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Manufacturing revenue decreased $12.7 million primarily due to the sale of the CDMO business; partially offset by increased revenue in our Microbial Solutions business driven primarily by higher endotoxin product revenue and the effect of changes in foreign currency exchange rates, compared to the corresponding period in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Manufacturing operating income increased $53.5 million during the three months ended June 27, 2026 compared to the corresponding period in 2025. Manufacturing operating income as a percentage of revenue for the three months ended June 27, 2026 was 34.9%, an increase of 2,890 bps from 6.0% for the corresponding period in 2025. Operating income and operating income as a percentage of revenue increased primarily due to the benefit from the divestiture of the CDMO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Unallocated Corporate</w:t>
      </w:r>
    </w:p>
    <w:tbl>
      <w:tblPr>
        <w:tblW w:w="9264" w:type="dxa"/>
        <w:jc w:val="left"/>
        <w:tblInd w:w="0" w:type="dxa"/>
        <w:tblLayout w:type="fixed"/>
        <w:tblCellMar>
          <w:top w:w="28" w:type="dxa"/>
          <w:left w:w="28" w:type="dxa"/>
          <w:bottom w:w="28" w:type="dxa"/>
          <w:right w:w="28" w:type="dxa"/>
        </w:tblCellMar>
      </w:tblPr>
      <w:tblGrid>
        <w:gridCol w:w="961"/>
        <w:gridCol w:w="845"/>
        <w:gridCol w:w="848"/>
        <w:gridCol w:w="196"/>
        <w:gridCol w:w="736"/>
        <w:gridCol w:w="256"/>
        <w:gridCol w:w="109"/>
        <w:gridCol w:w="109"/>
        <w:gridCol w:w="109"/>
        <w:gridCol w:w="200"/>
        <w:gridCol w:w="662"/>
        <w:gridCol w:w="262"/>
        <w:gridCol w:w="109"/>
        <w:gridCol w:w="109"/>
        <w:gridCol w:w="109"/>
        <w:gridCol w:w="196"/>
        <w:gridCol w:w="646"/>
        <w:gridCol w:w="109"/>
        <w:gridCol w:w="109"/>
        <w:gridCol w:w="109"/>
        <w:gridCol w:w="109"/>
        <w:gridCol w:w="233"/>
        <w:gridCol w:w="233"/>
        <w:gridCol w:w="448"/>
        <w:gridCol w:w="109"/>
        <w:gridCol w:w="109"/>
        <w:gridCol w:w="109"/>
        <w:gridCol w:w="235"/>
        <w:gridCol w:w="235"/>
        <w:gridCol w:w="655"/>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70,494 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Unallocated corporate costs consist of selling, general and administrative expenses that are not directly related or allocated to the reportable segments. The increase in unallocated corporate costs of $35.9 million, or 50.9%, compared to the corresponding period in 2025 is primarily due to higher acquisition, integration and divestiture costs primarily associated with our previously discussed activities, and higher professional services fees related to enterprise-wide efficiency initiatives. Costs as a percentage of revenue for the</w:t>
      </w:r>
      <w:r>
        <w:rPr>
          <w:color w:val="000000"/>
        </w:rPr>
        <w:t xml:space="preserve"> </w:t>
      </w:r>
      <w:r>
        <w:rPr>
          <w:rFonts w:ascii="Times New Roman;serif" w:hAnsi="Times New Roman;serif"/>
          <w:b w:val="false"/>
          <w:color w:val="000000"/>
          <w:sz w:val="20"/>
        </w:rPr>
        <w:t>three months ended June 27, 2026 was 10.6%, an increase of 380 bps from 6.8% for the corresponding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(Expense)</w:t>
      </w:r>
    </w:p>
    <w:tbl>
      <w:tblPr>
        <w:tblW w:w="8373" w:type="dxa"/>
        <w:jc w:val="left"/>
        <w:tblInd w:w="0" w:type="dxa"/>
        <w:tblLayout w:type="fixed"/>
        <w:tblCellMar>
          <w:top w:w="28" w:type="dxa"/>
          <w:left w:w="28" w:type="dxa"/>
          <w:bottom w:w="28" w:type="dxa"/>
          <w:right w:w="28" w:type="dxa"/>
        </w:tblCellMar>
      </w:tblPr>
      <w:tblGrid>
        <w:gridCol w:w="766"/>
        <w:gridCol w:w="673"/>
        <w:gridCol w:w="675"/>
        <w:gridCol w:w="215"/>
        <w:gridCol w:w="791"/>
        <w:gridCol w:w="119"/>
        <w:gridCol w:w="109"/>
        <w:gridCol w:w="109"/>
        <w:gridCol w:w="109"/>
        <w:gridCol w:w="215"/>
        <w:gridCol w:w="791"/>
        <w:gridCol w:w="119"/>
        <w:gridCol w:w="109"/>
        <w:gridCol w:w="109"/>
        <w:gridCol w:w="109"/>
        <w:gridCol w:w="196"/>
        <w:gridCol w:w="721"/>
        <w:gridCol w:w="109"/>
        <w:gridCol w:w="109"/>
        <w:gridCol w:w="109"/>
        <w:gridCol w:w="109"/>
        <w:gridCol w:w="425"/>
        <w:gridCol w:w="430"/>
        <w:gridCol w:w="448"/>
        <w:gridCol w:w="109"/>
        <w:gridCol w:w="109"/>
        <w:gridCol w:w="109"/>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(24,392.2)</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(66,718)</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(28,716)</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27, 2026 was $1.0 million, a decrease of $0.1 million, or 5.9%, driven primarily from lower interest earning asset balances.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27, 2026 was $30.3 million, an increase of $0.4 million, or 1.2%, compared to $30.0 million in the corresponding period in 2025 primarily due to non-cash interest expense recognized from the accretion of deferred purchase consideration associated with the Cambodian NHP Supplier acquisition; partially offset by lower average interest rates on our debt balances within our revolving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Other expense, net for the three months ended June 27, 2026 was $37.4 million compared to Other income, net of $0.2 million for the corresponding period in 2025 primarily due to the loss of $63.7 million in connection with the CDMO and Cell Solutions Divestiture recognized in the second quarter of 2026; partially offset by a $18.9 million gain in the fair value of life insurance policies in the second quarter of 2026 compared to a $5.4 million gain in 2025 as well as $9.5 million of venture capital and strategic equity investment gains, net of impairments, in the second quarter of 2026 compared to $0.3 million of venture capital and strategic equity investment losses and impairments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Income Taxes</w:t>
      </w:r>
    </w:p>
    <w:tbl>
      <w:tblPr>
        <w:tblW w:w="8058" w:type="dxa"/>
        <w:jc w:val="left"/>
        <w:tblInd w:w="0" w:type="dxa"/>
        <w:tblLayout w:type="fixed"/>
        <w:tblCellMar>
          <w:top w:w="28" w:type="dxa"/>
          <w:left w:w="28" w:type="dxa"/>
          <w:bottom w:w="28" w:type="dxa"/>
          <w:right w:w="28" w:type="dxa"/>
        </w:tblCellMar>
      </w:tblPr>
      <w:tblGrid>
        <w:gridCol w:w="761"/>
        <w:gridCol w:w="666"/>
        <w:gridCol w:w="673"/>
        <w:gridCol w:w="200"/>
        <w:gridCol w:w="662"/>
        <w:gridCol w:w="262"/>
        <w:gridCol w:w="109"/>
        <w:gridCol w:w="109"/>
        <w:gridCol w:w="109"/>
        <w:gridCol w:w="200"/>
        <w:gridCol w:w="662"/>
        <w:gridCol w:w="262"/>
        <w:gridCol w:w="109"/>
        <w:gridCol w:w="109"/>
        <w:gridCol w:w="109"/>
        <w:gridCol w:w="196"/>
        <w:gridCol w:w="721"/>
        <w:gridCol w:w="109"/>
        <w:gridCol w:w="109"/>
        <w:gridCol w:w="109"/>
        <w:gridCol w:w="109"/>
        <w:gridCol w:w="277"/>
        <w:gridCol w:w="279"/>
        <w:gridCol w:w="448"/>
        <w:gridCol w:w="109"/>
        <w:gridCol w:w="109"/>
        <w:gridCol w:w="109"/>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27, 2026 was $53.9 million, an increase of $35.2 million compared to $18.7 million for the corresponding period in 2025. Our effective tax rate was 101.4% for the three months ended June 27, 2026 compared to 26.2% for the corresponding period in 2025. The increase in our effective tax rate in the three months ended June 27, 2026 compared to the corresponding period in 2025 was primarily attributable to the tax effects of the European Discovery and CDMO and Cell Solutions Divestitures, non-deductible transaction costs, and higher accrued interest relating to acquired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Six Months Ended June 27, 2026 Compared to Six Months Ended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and Operating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consolidated revenue by type and by reportable segment:</w:t>
      </w:r>
    </w:p>
    <w:tbl>
      <w:tblPr>
        <w:tblW w:w="7230" w:type="dxa"/>
        <w:jc w:val="left"/>
        <w:tblInd w:w="0" w:type="dxa"/>
        <w:tblLayout w:type="fixed"/>
        <w:tblCellMar>
          <w:top w:w="28" w:type="dxa"/>
          <w:left w:w="28" w:type="dxa"/>
          <w:bottom w:w="28" w:type="dxa"/>
          <w:right w:w="28" w:type="dxa"/>
        </w:tblCellMar>
      </w:tblPr>
      <w:tblGrid>
        <w:gridCol w:w="462"/>
        <w:gridCol w:w="405"/>
        <w:gridCol w:w="407"/>
        <w:gridCol w:w="196"/>
        <w:gridCol w:w="871"/>
        <w:gridCol w:w="109"/>
        <w:gridCol w:w="109"/>
        <w:gridCol w:w="109"/>
        <w:gridCol w:w="109"/>
        <w:gridCol w:w="196"/>
        <w:gridCol w:w="871"/>
        <w:gridCol w:w="109"/>
        <w:gridCol w:w="109"/>
        <w:gridCol w:w="109"/>
        <w:gridCol w:w="109"/>
        <w:gridCol w:w="196"/>
        <w:gridCol w:w="721"/>
        <w:gridCol w:w="109"/>
        <w:gridCol w:w="109"/>
        <w:gridCol w:w="109"/>
        <w:gridCol w:w="109"/>
        <w:gridCol w:w="224"/>
        <w:gridCol w:w="226"/>
        <w:gridCol w:w="448"/>
        <w:gridCol w:w="109"/>
        <w:gridCol w:w="109"/>
        <w:gridCol w:w="109"/>
        <w:gridCol w:w="109"/>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80" w:type="dxa"/>
        <w:jc w:val="left"/>
        <w:tblInd w:w="0" w:type="dxa"/>
        <w:tblLayout w:type="fixed"/>
        <w:tblCellMar>
          <w:top w:w="28" w:type="dxa"/>
          <w:left w:w="28" w:type="dxa"/>
          <w:bottom w:w="28" w:type="dxa"/>
          <w:right w:w="28" w:type="dxa"/>
        </w:tblCellMar>
      </w:tblPr>
      <w:tblGrid>
        <w:gridCol w:w="423"/>
        <w:gridCol w:w="371"/>
        <w:gridCol w:w="377"/>
        <w:gridCol w:w="196"/>
        <w:gridCol w:w="871"/>
        <w:gridCol w:w="109"/>
        <w:gridCol w:w="109"/>
        <w:gridCol w:w="109"/>
        <w:gridCol w:w="109"/>
        <w:gridCol w:w="196"/>
        <w:gridCol w:w="871"/>
        <w:gridCol w:w="109"/>
        <w:gridCol w:w="109"/>
        <w:gridCol w:w="109"/>
        <w:gridCol w:w="109"/>
        <w:gridCol w:w="196"/>
        <w:gridCol w:w="721"/>
        <w:gridCol w:w="109"/>
        <w:gridCol w:w="109"/>
        <w:gridCol w:w="109"/>
        <w:gridCol w:w="109"/>
        <w:gridCol w:w="224"/>
        <w:gridCol w:w="226"/>
        <w:gridCol w:w="448"/>
        <w:gridCol w:w="109"/>
        <w:gridCol w:w="109"/>
        <w:gridCol w:w="109"/>
        <w:gridCol w:w="235"/>
        <w:gridCol w:w="235"/>
        <w:gridCol w:w="655"/>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DSA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1,999,908 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income by reportable segment:</w:t>
      </w:r>
    </w:p>
    <w:tbl>
      <w:tblPr>
        <w:tblW w:w="9228" w:type="dxa"/>
        <w:jc w:val="left"/>
        <w:tblInd w:w="0" w:type="dxa"/>
        <w:tblLayout w:type="fixed"/>
        <w:tblCellMar>
          <w:top w:w="28" w:type="dxa"/>
          <w:left w:w="28" w:type="dxa"/>
          <w:bottom w:w="28" w:type="dxa"/>
          <w:right w:w="28" w:type="dxa"/>
        </w:tblCellMar>
      </w:tblPr>
      <w:tblGrid>
        <w:gridCol w:w="856"/>
        <w:gridCol w:w="751"/>
        <w:gridCol w:w="763"/>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33"/>
        <w:gridCol w:w="233"/>
        <w:gridCol w:w="512"/>
        <w:gridCol w:w="109"/>
        <w:gridCol w:w="109"/>
        <w:gridCol w:w="109"/>
        <w:gridCol w:w="260"/>
        <w:gridCol w:w="260"/>
        <w:gridCol w:w="725"/>
      </w:tblGrid>
      <w:tr>
        <w:trPr/>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change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Impact of FX</w:t>
            </w:r>
            <w:r>
              <w:rPr>
                <w:rFonts w:ascii="Times New Roman;serif" w:hAnsi="Times New Roman;serif"/>
                <w:b/>
                <w:color w:val="000000"/>
                <w:sz w:val="10"/>
              </w:rPr>
              <w:t>(1)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DSA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174,803 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of revenue</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8" w:type="dxa"/>
            <w:gridSpan w:val="30"/>
            <w:tcBorders/>
            <w:shd w:fill="CCEEFF" w:val="clear"/>
            <w:tcMar>
              <w:top w:w="0" w:type="dxa"/>
              <w:left w:w="0" w:type="dxa"/>
              <w:bottom w:w="0" w:type="dxa"/>
              <w:right w:w="0" w:type="dxa"/>
            </w:tcMar>
            <w:vAlign w:val="center"/>
          </w:tcPr>
          <w:p>
            <w:pPr>
              <w:pStyle w:val="TableContents"/>
              <w:bidi w:val="0"/>
              <w:spacing w:lineRule="auto" w:line="240" w:before="40" w:after="283"/>
              <w:ind w:left="0" w:right="0" w:hanging="180"/>
              <w:jc w:val="left"/>
              <w:rPr/>
            </w:pPr>
            <w:r>
              <w:rPr>
                <w:rFonts w:ascii="Times New Roman;serif" w:hAnsi="Times New Roman;serif"/>
                <w:b w:val="false"/>
                <w:color w:val="000000"/>
                <w:sz w:val="10"/>
              </w:rPr>
              <w:t xml:space="preserve">(1) </w:t>
            </w:r>
            <w:r>
              <w:rPr>
                <w:color w:val="000000"/>
              </w:rPr>
              <w:t>“</w:t>
            </w:r>
            <w:r>
              <w:rPr>
                <w:rFonts w:ascii="Times New Roman;serif" w:hAnsi="Times New Roman;serif"/>
                <w:b w:val="false"/>
                <w:color w:val="000000"/>
                <w:sz w:val="16"/>
              </w:rPr>
              <w:t>NM” indicates that the percentage change is not meaningful due to the magnitude of the increase or (decrease).</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presents and discusses our consolidated financial results by each of our reportable segments: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RMS</w:t>
      </w:r>
    </w:p>
    <w:tbl>
      <w:tblPr>
        <w:tblW w:w="10205" w:type="dxa"/>
        <w:jc w:val="left"/>
        <w:tblInd w:w="0" w:type="dxa"/>
        <w:tblLayout w:type="fixed"/>
        <w:tblCellMar>
          <w:top w:w="28" w:type="dxa"/>
          <w:left w:w="28" w:type="dxa"/>
          <w:bottom w:w="28" w:type="dxa"/>
          <w:right w:w="28" w:type="dxa"/>
        </w:tblCellMar>
      </w:tblPr>
      <w:tblGrid>
        <w:gridCol w:w="1316"/>
        <w:gridCol w:w="1132"/>
        <w:gridCol w:w="1142"/>
        <w:gridCol w:w="196"/>
        <w:gridCol w:w="736"/>
        <w:gridCol w:w="256"/>
        <w:gridCol w:w="109"/>
        <w:gridCol w:w="109"/>
        <w:gridCol w:w="109"/>
        <w:gridCol w:w="196"/>
        <w:gridCol w:w="736"/>
        <w:gridCol w:w="256"/>
        <w:gridCol w:w="109"/>
        <w:gridCol w:w="109"/>
        <w:gridCol w:w="109"/>
        <w:gridCol w:w="196"/>
        <w:gridCol w:w="616"/>
        <w:gridCol w:w="109"/>
        <w:gridCol w:w="109"/>
        <w:gridCol w:w="109"/>
        <w:gridCol w:w="109"/>
        <w:gridCol w:w="260"/>
        <w:gridCol w:w="264"/>
        <w:gridCol w:w="448"/>
        <w:gridCol w:w="109"/>
        <w:gridCol w:w="109"/>
        <w:gridCol w:w="109"/>
        <w:gridCol w:w="235"/>
        <w:gridCol w:w="211"/>
        <w:gridCol w:w="592"/>
      </w:tblGrid>
      <w:tr>
        <w:trPr/>
        <w:tc>
          <w:tcPr>
            <w:tcW w:w="131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of revenue</w:t>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RMS revenue decreased $8.5 million primarily driven by the divestiture of the Cell Solutions business as well as a decrease in service revenue, large research model product revenue, and small research model product revenue in North America; partially offset by an increase in small research model product revenue in China and the effect of changes in foreign currency exchange rates compared to the corresponding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RMS operating income increased $6.7 million compared to the corresponding period in 2025. RMS operating income as a percentage of revenue for the six months ended June 27, 2026 was 20.6%, an increase of 200 bps from 18.6% for the corresponding period in 2025. Operating income and operating income as a percentage of revenue increased primarily due to lower site consolidation charges and the gain on sale of certain assets at our Wilmington, Massachusetts site recognized within Selling, general and administrative expenses and a decrease in amortization of intangible assets related to the sale of the Cell Solutions business; partially offset by an increase in asset impairments recognized within Cost of revenue and the lower revenue described above, compared to the corresponding period in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DSA</w:t>
      </w:r>
    </w:p>
    <w:tbl>
      <w:tblPr>
        <w:tblW w:w="10205" w:type="dxa"/>
        <w:jc w:val="left"/>
        <w:tblInd w:w="0" w:type="dxa"/>
        <w:tblLayout w:type="fixed"/>
        <w:tblCellMar>
          <w:top w:w="28" w:type="dxa"/>
          <w:left w:w="28" w:type="dxa"/>
          <w:bottom w:w="28" w:type="dxa"/>
          <w:right w:w="28" w:type="dxa"/>
        </w:tblCellMar>
      </w:tblPr>
      <w:tblGrid>
        <w:gridCol w:w="1225"/>
        <w:gridCol w:w="1043"/>
        <w:gridCol w:w="1053"/>
        <w:gridCol w:w="196"/>
        <w:gridCol w:w="871"/>
        <w:gridCol w:w="256"/>
        <w:gridCol w:w="109"/>
        <w:gridCol w:w="109"/>
        <w:gridCol w:w="109"/>
        <w:gridCol w:w="196"/>
        <w:gridCol w:w="871"/>
        <w:gridCol w:w="256"/>
        <w:gridCol w:w="109"/>
        <w:gridCol w:w="109"/>
        <w:gridCol w:w="109"/>
        <w:gridCol w:w="196"/>
        <w:gridCol w:w="646"/>
        <w:gridCol w:w="109"/>
        <w:gridCol w:w="109"/>
        <w:gridCol w:w="109"/>
        <w:gridCol w:w="109"/>
        <w:gridCol w:w="258"/>
        <w:gridCol w:w="262"/>
        <w:gridCol w:w="448"/>
        <w:gridCol w:w="109"/>
        <w:gridCol w:w="109"/>
        <w:gridCol w:w="109"/>
        <w:gridCol w:w="235"/>
        <w:gridCol w:w="208"/>
        <w:gridCol w:w="568"/>
      </w:tblGrid>
      <w:tr>
        <w:trPr/>
        <w:tc>
          <w:tcPr>
            <w:tcW w:w="1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1,203,430 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1,210,638 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842,050 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228,274 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216,733 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of revenue</w:t>
            </w:r>
          </w:p>
        </w:tc>
        <w:tc>
          <w:tcPr>
            <w:tcW w:w="10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DSA revenue decreased $7.2 million primarily due to the sale of certain European Discovery Services businesses; partially offset by higher revenue for regulated safety assessment services and the effect of changes in foreign currency exchange rates, compared to the corresponding period in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DSA operating income increased $11.5 million during the six months ended June 27, 2026 compared to the corresponding period in 2025. DSA operating income as a percentage of revenue for the six months ended June 27, 2026 was 19.0%, an increase of 110 bps from 17.9% for the corresponding period in 2025. Operating income and operating income as a percentage of revenue increased primarily due to lower third-party legal costs associated with the investigations by the U.S. government into the NHP supply chain, and lower restructuring activities, including asset impairments recognized within Cost of revenue; partially offset with the decrease in revenue described above, compared to the corresponding period in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Manufacturing</w:t>
      </w:r>
    </w:p>
    <w:tbl>
      <w:tblPr>
        <w:tblW w:w="10205" w:type="dxa"/>
        <w:jc w:val="left"/>
        <w:tblInd w:w="0" w:type="dxa"/>
        <w:tblLayout w:type="fixed"/>
        <w:tblCellMar>
          <w:top w:w="28" w:type="dxa"/>
          <w:left w:w="28" w:type="dxa"/>
          <w:bottom w:w="28" w:type="dxa"/>
          <w:right w:w="28" w:type="dxa"/>
        </w:tblCellMar>
      </w:tblPr>
      <w:tblGrid>
        <w:gridCol w:w="1241"/>
        <w:gridCol w:w="1059"/>
        <w:gridCol w:w="1068"/>
        <w:gridCol w:w="196"/>
        <w:gridCol w:w="736"/>
        <w:gridCol w:w="256"/>
        <w:gridCol w:w="109"/>
        <w:gridCol w:w="109"/>
        <w:gridCol w:w="109"/>
        <w:gridCol w:w="196"/>
        <w:gridCol w:w="736"/>
        <w:gridCol w:w="256"/>
        <w:gridCol w:w="109"/>
        <w:gridCol w:w="109"/>
        <w:gridCol w:w="109"/>
        <w:gridCol w:w="196"/>
        <w:gridCol w:w="736"/>
        <w:gridCol w:w="109"/>
        <w:gridCol w:w="109"/>
        <w:gridCol w:w="109"/>
        <w:gridCol w:w="109"/>
        <w:gridCol w:w="259"/>
        <w:gridCol w:w="261"/>
        <w:gridCol w:w="496"/>
        <w:gridCol w:w="109"/>
        <w:gridCol w:w="109"/>
        <w:gridCol w:w="109"/>
        <w:gridCol w:w="253"/>
        <w:gridCol w:w="221"/>
        <w:gridCol w:w="622"/>
      </w:tblGrid>
      <w:tr>
        <w:trPr/>
        <w:tc>
          <w:tcPr>
            <w:tcW w:w="124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change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Impact of FX</w:t>
            </w:r>
            <w:r>
              <w:rPr>
                <w:rFonts w:ascii="Times New Roman;serif" w:hAnsi="Times New Roman;serif"/>
                <w:b/>
                <w:color w:val="000000"/>
                <w:sz w:val="10"/>
              </w:rPr>
              <w:t>(1)</w:t>
            </w:r>
          </w:p>
        </w:tc>
      </w:tr>
      <w:tr>
        <w:trPr/>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(excluding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 (loss) % of revenue</w:t>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2"/>
              </w:rPr>
              <w:t xml:space="preserve">(1) </w:t>
            </w:r>
            <w:r>
              <w:rPr>
                <w:color w:val="000000"/>
              </w:rPr>
              <w:t>“</w:t>
            </w:r>
            <w:r>
              <w:rPr>
                <w:rFonts w:ascii="Times New Roman;serif" w:hAnsi="Times New Roman;serif"/>
                <w:b w:val="false"/>
                <w:color w:val="000000"/>
                <w:sz w:val="18"/>
              </w:rPr>
              <w:t>NM” indicates that the percentage change is not meaningful due to the magnitude of the increase or (decrease).</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revenue decreased $0.7 million primarily due to the sale of the CDMO business; partially offset by increased revenue in our Microbial Solutions business driven primarily by higher endotoxin product revenue and the effect of changes in foreign currency exchange rates, compared to the corresponding period in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Manufacturing operating income increased $109.0 million during the six months ended June 27, 2026 compared to the corresponding period in 2025. Manufacturing operating income as a percentage of revenue for the six months ended June 27, 2026 was 29.7%, an increase of 2,880 bps from 0.9% for the corresponding period in 2025. Operating income and operating income as a percentage of revenue increased primarily due to the benefit from the divestiture of the CDMO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Unallocated Corporate</w:t>
      </w:r>
    </w:p>
    <w:tbl>
      <w:tblPr>
        <w:tblW w:w="9328" w:type="dxa"/>
        <w:jc w:val="left"/>
        <w:tblInd w:w="0" w:type="dxa"/>
        <w:tblLayout w:type="fixed"/>
        <w:tblCellMar>
          <w:top w:w="28" w:type="dxa"/>
          <w:left w:w="28" w:type="dxa"/>
          <w:bottom w:w="28" w:type="dxa"/>
          <w:right w:w="28" w:type="dxa"/>
        </w:tblCellMar>
      </w:tblPr>
      <w:tblGrid>
        <w:gridCol w:w="961"/>
        <w:gridCol w:w="845"/>
        <w:gridCol w:w="848"/>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33"/>
        <w:gridCol w:w="233"/>
        <w:gridCol w:w="448"/>
        <w:gridCol w:w="109"/>
        <w:gridCol w:w="109"/>
        <w:gridCol w:w="109"/>
        <w:gridCol w:w="235"/>
        <w:gridCol w:w="235"/>
        <w:gridCol w:w="655"/>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FX</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Unallocated corporate costs consist of selling, general and administrative expenses that are not directly related or allocated to the reportable segments. The increase in unallocated corporate costs of $62.2 million, or 49.9%, compared to the corresponding period in 2025 is primarily due to higher acquisition, integration and divestiture costs primarily associated with our previously discussed activities and higher professional services fees related to enterprise-wide efficiency initiatives; partially offset by the $15.3 million gain on sale of certain assets at our Wilmington, Massachusetts site. Costs as a percentage of revenue for the six months ended June 27, 2026 were 9.3%, an increase of 310 bps from 6.2% for the corresponding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(Expense)</w:t>
      </w:r>
    </w:p>
    <w:tbl>
      <w:tblPr>
        <w:tblW w:w="8298" w:type="dxa"/>
        <w:jc w:val="left"/>
        <w:tblInd w:w="0" w:type="dxa"/>
        <w:tblLayout w:type="fixed"/>
        <w:tblCellMar>
          <w:top w:w="28" w:type="dxa"/>
          <w:left w:w="28" w:type="dxa"/>
          <w:bottom w:w="28" w:type="dxa"/>
          <w:right w:w="28" w:type="dxa"/>
        </w:tblCellMar>
      </w:tblPr>
      <w:tblGrid>
        <w:gridCol w:w="766"/>
        <w:gridCol w:w="673"/>
        <w:gridCol w:w="675"/>
        <w:gridCol w:w="197"/>
        <w:gridCol w:w="818"/>
        <w:gridCol w:w="109"/>
        <w:gridCol w:w="109"/>
        <w:gridCol w:w="109"/>
        <w:gridCol w:w="109"/>
        <w:gridCol w:w="215"/>
        <w:gridCol w:w="791"/>
        <w:gridCol w:w="119"/>
        <w:gridCol w:w="109"/>
        <w:gridCol w:w="109"/>
        <w:gridCol w:w="109"/>
        <w:gridCol w:w="196"/>
        <w:gridCol w:w="811"/>
        <w:gridCol w:w="109"/>
        <w:gridCol w:w="109"/>
        <w:gridCol w:w="109"/>
        <w:gridCol w:w="109"/>
        <w:gridCol w:w="344"/>
        <w:gridCol w:w="347"/>
        <w:gridCol w:w="448"/>
        <w:gridCol w:w="109"/>
        <w:gridCol w:w="109"/>
        <w:gridCol w:w="109"/>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1,239.8 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income for the six months ended June 27, 2026 was $2.1 million, a decrease of $0.4 million, or 17.4%, driven primarily by lower interest earning asset balances.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27, 2026 was $57.1 million, a decrease of $0.8 million, or 1.3%, compared to $57.9 million in the corresponding period in 2025 primarily due to lower average interest rates on our debt balances within our revolving credit facility; partially offset by non-cash interest expense recognized from the accretion of deferred purchase consideration associated with the Cambodian NHP Supplier acquisition.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Other expense, net for the six months ended June 27, 2026 was $161.5 million compared to $12.1 million for the corresponding period in 2025 due principally to the loss of $181.7 million in connection with the CDMO and Cell Solutions Divestiture; partially offset by a $16.9 million gain in the fair value of life insurance policies in 2026 compared to a $3.3 million gain in 2025, as well as $10.0 million of venture capital and strategic equity investment gains, net of impairments, in 2026 compared to $9.0 million of venture capital and strategic equity investment losses and impairments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Income Taxes</w:t>
      </w:r>
    </w:p>
    <w:tbl>
      <w:tblPr>
        <w:tblW w:w="8106" w:type="dxa"/>
        <w:jc w:val="left"/>
        <w:tblInd w:w="0" w:type="dxa"/>
        <w:tblLayout w:type="fixed"/>
        <w:tblCellMar>
          <w:top w:w="28" w:type="dxa"/>
          <w:left w:w="28" w:type="dxa"/>
          <w:bottom w:w="28" w:type="dxa"/>
          <w:right w:w="28" w:type="dxa"/>
        </w:tblCellMar>
      </w:tblPr>
      <w:tblGrid>
        <w:gridCol w:w="761"/>
        <w:gridCol w:w="666"/>
        <w:gridCol w:w="673"/>
        <w:gridCol w:w="200"/>
        <w:gridCol w:w="662"/>
        <w:gridCol w:w="262"/>
        <w:gridCol w:w="109"/>
        <w:gridCol w:w="109"/>
        <w:gridCol w:w="109"/>
        <w:gridCol w:w="196"/>
        <w:gridCol w:w="736"/>
        <w:gridCol w:w="256"/>
        <w:gridCol w:w="109"/>
        <w:gridCol w:w="109"/>
        <w:gridCol w:w="109"/>
        <w:gridCol w:w="196"/>
        <w:gridCol w:w="721"/>
        <w:gridCol w:w="109"/>
        <w:gridCol w:w="109"/>
        <w:gridCol w:w="109"/>
        <w:gridCol w:w="109"/>
        <w:gridCol w:w="269"/>
        <w:gridCol w:w="271"/>
        <w:gridCol w:w="448"/>
        <w:gridCol w:w="109"/>
        <w:gridCol w:w="109"/>
        <w:gridCol w:w="109"/>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38,790 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27, 2026 was $38.8 million, compared to $28.8 million for the corresponding period in 2025. Our effective tax rate was 167.0% for the six months ended June 27, 2026 compared to 26.8% for the corresponding period in 2025. The difference in our effective tax rate in the six months ended June 27, 2026 compared to the corresponding period in 2025 was primarily attributable to the tax effects of the European Discovery and CDMO and Cell Solutions Divestitures, non-deductible transaction costs, and higher accrued interest relating to acquired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Liquidity and 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general, we require cash to fund our working capital needs, capital expansion, acquisitions, debt payments, lease payments, venture capital and strategic equity investments, restructuring initiatives, and pension obligations. Our principal sources of liquidity have been our cash flows from operations supplemented by long-term borrowings. Based on our current business plan, we believe that our existing funds, when combined with cash generated from operations and our access to financing resources, are sufficient to fund our operations for the foreseeable future.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cash, cash equivalents and short-term investments: </w:t>
      </w:r>
    </w:p>
    <w:tbl>
      <w:tblPr>
        <w:tblW w:w="5337" w:type="dxa"/>
        <w:jc w:val="left"/>
        <w:tblInd w:w="0" w:type="dxa"/>
        <w:tblLayout w:type="fixed"/>
        <w:tblCellMar>
          <w:top w:w="28" w:type="dxa"/>
          <w:left w:w="28" w:type="dxa"/>
          <w:bottom w:w="28" w:type="dxa"/>
          <w:right w:w="28" w:type="dxa"/>
        </w:tblCellMar>
      </w:tblPr>
      <w:tblGrid>
        <w:gridCol w:w="848"/>
        <w:gridCol w:w="743"/>
        <w:gridCol w:w="749"/>
        <w:gridCol w:w="212"/>
        <w:gridCol w:w="796"/>
        <w:gridCol w:w="117"/>
        <w:gridCol w:w="109"/>
        <w:gridCol w:w="109"/>
        <w:gridCol w:w="109"/>
        <w:gridCol w:w="279"/>
        <w:gridCol w:w="1047"/>
        <w:gridCol w:w="219"/>
      </w:tblGrid>
      <w:tr>
        <w:trPr/>
        <w:tc>
          <w:tcPr>
            <w:tcW w:w="8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 in U.S. entities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 in non-U.S. entities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209,256 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192,025 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213,770 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net cash provided by operating activities:</w:t>
      </w:r>
    </w:p>
    <w:tbl>
      <w:tblPr>
        <w:tblW w:w="8367" w:type="dxa"/>
        <w:jc w:val="left"/>
        <w:tblInd w:w="0" w:type="dxa"/>
        <w:tblLayout w:type="fixed"/>
        <w:tblCellMar>
          <w:top w:w="28" w:type="dxa"/>
          <w:left w:w="28" w:type="dxa"/>
          <w:bottom w:w="28" w:type="dxa"/>
          <w:right w:w="28" w:type="dxa"/>
        </w:tblCellMar>
      </w:tblPr>
      <w:tblGrid>
        <w:gridCol w:w="2075"/>
        <w:gridCol w:w="1829"/>
        <w:gridCol w:w="1841"/>
        <w:gridCol w:w="212"/>
        <w:gridCol w:w="796"/>
        <w:gridCol w:w="117"/>
        <w:gridCol w:w="109"/>
        <w:gridCol w:w="109"/>
        <w:gridCol w:w="109"/>
        <w:gridCol w:w="211"/>
        <w:gridCol w:w="793"/>
        <w:gridCol w:w="166"/>
      </w:tblGrid>
      <w:tr>
        <w:trPr/>
        <w:tc>
          <w:tcPr>
            <w:tcW w:w="207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285,275 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220,802 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376,300 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represents the cash receipts and disbursements related to all of our activities other than investing and financing activities. Operating cash flow is derived by adjusting our net income for (1) non-cash operating items such as depreciation and amortization, stock-based compensation, goodwill impairment, debt financing costs, deferred income taxes, write downs of inventories, provisions of credit losses, long-lived asset impairment changes, gains and/or losses on venture capital and strategic equity investments, gains and/or losses on divestitures, and changes in fair value of contingent consideration, as well as (2) changes in operating assets and liabilities, which reflect timing differences between the receipt and payment of cash associated with transactions and when they are recognized in our results of operations.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27, 2026, our cash flows from operations were $220.8 million compared with $376.3 million for the same period in 2025. The decrease was primarily related to higher payments of variable compensation, specifically annual incentive based bonuses paid during the first quarter, as well as higher acquisition, integration and divestiture-related payments.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net cash used in investing activities:</w:t>
      </w:r>
    </w:p>
    <w:tbl>
      <w:tblPr>
        <w:tblW w:w="6836" w:type="dxa"/>
        <w:jc w:val="left"/>
        <w:tblInd w:w="0" w:type="dxa"/>
        <w:tblLayout w:type="fixed"/>
        <w:tblCellMar>
          <w:top w:w="28" w:type="dxa"/>
          <w:left w:w="28" w:type="dxa"/>
          <w:bottom w:w="28" w:type="dxa"/>
          <w:right w:w="28" w:type="dxa"/>
        </w:tblCellMar>
      </w:tblPr>
      <w:tblGrid>
        <w:gridCol w:w="1524"/>
        <w:gridCol w:w="1341"/>
        <w:gridCol w:w="1350"/>
        <w:gridCol w:w="197"/>
        <w:gridCol w:w="818"/>
        <w:gridCol w:w="109"/>
        <w:gridCol w:w="109"/>
        <w:gridCol w:w="109"/>
        <w:gridCol w:w="109"/>
        <w:gridCol w:w="214"/>
        <w:gridCol w:w="788"/>
        <w:gridCol w:w="168"/>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and assets, net of cash acquired</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net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businesses and assets,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(82,818)</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Investing activities primarily consist of cash used to fund capital expenditures to support the growth of our business, purchases and sales of investments related to our venture capital and strategic equity investment portfolios, and asset and business acquisitions, periodically offset by cash from divestitures.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27, 2026, cash used in investing activities was primarily driven by the acquisition of the Cambodian NHP Supplier and PathoQuest coupled with capital expenditures; partially offset by proceeds from the sale of the European Discovery Services businesses and the sale of certain assets at our Wilmington, Massachusetts site.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28, 2025, cash used in investing activities was primarily driven by capital expenditures; partially offset by proceeds from divestitures of certain site and business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net cash provided by (used in) financing activities:</w:t>
      </w:r>
    </w:p>
    <w:tbl>
      <w:tblPr>
        <w:tblW w:w="8626" w:type="dxa"/>
        <w:jc w:val="left"/>
        <w:tblInd w:w="0" w:type="dxa"/>
        <w:tblLayout w:type="fixed"/>
        <w:tblCellMar>
          <w:top w:w="28" w:type="dxa"/>
          <w:left w:w="28" w:type="dxa"/>
          <w:bottom w:w="28" w:type="dxa"/>
          <w:right w:w="28" w:type="dxa"/>
        </w:tblCellMar>
      </w:tblPr>
      <w:tblGrid>
        <w:gridCol w:w="2159"/>
        <w:gridCol w:w="1894"/>
        <w:gridCol w:w="1901"/>
        <w:gridCol w:w="196"/>
        <w:gridCol w:w="871"/>
        <w:gridCol w:w="109"/>
        <w:gridCol w:w="109"/>
        <w:gridCol w:w="109"/>
        <w:gridCol w:w="109"/>
        <w:gridCol w:w="197"/>
        <w:gridCol w:w="817"/>
        <w:gridCol w:w="155"/>
      </w:tblGrid>
      <w:tr>
        <w:trPr/>
        <w:tc>
          <w:tcPr>
            <w:tcW w:w="215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revolving credit facility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long-term debt, revolving credit facility, and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(887,706)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exercises of stock options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(360,484)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remaining equity interest of other redeemable 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(332,246)</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 primarily consist of the proceeds and repayments of debt and certain equity related transactions including treasury stock purchases and employee stock option exercises.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27, 2026, net cash provided by financing activities was primarily driven by the following activity: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proceeds of $519.3 million, primarily from our Credit Facility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Treasury stock purchases of $300.0 million associated with our stock repurchase program and $20.7 million due to the netting of common stock upon vesting of stock-based awards in order to satisfy individual statutory tax withholding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Payment of $11.4 million associated with contingent consideration related to the acquisition of Noveprim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28, 2025, net cash used in financing activities was primarily driven by the following activity: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proceeds of $75.7 million, of which $85.7 million was from our Credit Facility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Treasury stock purchases of $350.0 million associated with our stock repurchase program and $9.9 million due to the netting of common stock upon vesting of stock-based awards in order to satisfy individual statutory tax withholding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Payment of $21.8 million associated with contingent consideration related to the acquisition of Noveprim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Payment of $19.1 million for the remaining 8% equity interest in another redeemable noncontrolling interest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and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Amounts outstanding under our Credit Facility and our Senior Notes were as follows:</w:t>
      </w:r>
    </w:p>
    <w:tbl>
      <w:tblPr>
        <w:tblW w:w="5312" w:type="dxa"/>
        <w:jc w:val="left"/>
        <w:tblInd w:w="0" w:type="dxa"/>
        <w:tblLayout w:type="fixed"/>
        <w:tblCellMar>
          <w:top w:w="28" w:type="dxa"/>
          <w:left w:w="28" w:type="dxa"/>
          <w:bottom w:w="28" w:type="dxa"/>
          <w:right w:w="28" w:type="dxa"/>
        </w:tblCellMar>
      </w:tblPr>
      <w:tblGrid>
        <w:gridCol w:w="821"/>
        <w:gridCol w:w="719"/>
        <w:gridCol w:w="725"/>
        <w:gridCol w:w="196"/>
        <w:gridCol w:w="871"/>
        <w:gridCol w:w="109"/>
        <w:gridCol w:w="109"/>
        <w:gridCol w:w="109"/>
        <w:gridCol w:w="109"/>
        <w:gridCol w:w="248"/>
        <w:gridCol w:w="1102"/>
        <w:gridCol w:w="194"/>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facility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616,503 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4.25% Senior Notes due 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3.75% Senior Notes due 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 Senior Notes due 2031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2,620,293 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2,116,503 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Credit Facility provides for up to $2.0 billion of multi-currency revolving credit and has a maturity date of December 2029, with no required scheduled payment before that date. The interest rates applicable to the revolving facility are equal to (A) for revolving loans denominated in U.S. dollars, at our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our leverage ratio.</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off-balance sheet commitments related to our outstanding letters of credit as of June 27, 2026 and December 27, 2025 were $21.7 million and $22.0 million, respectively.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operate on a global basis and have exposure to foreign currency exchange rate fluctuations for our financial position, results of operations, and 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While the financial results of our global activities are reported in U.S. dollars, our foreign subsidiaries typically conduct their operations in their respective local currency. The principal functional currencies of our foreign subsidiaries are the Euro, Canadian Dollar, and British Pound. During the six months ended June 27, 2026, the most significant drivers of foreign currency translation adjustment we recorded as part of Other comprehensive income (loss) were the British Pound, Canadian Dollar, Mauritian Rupee, Euro, Chinese Yuan, and Hungarian Forint.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(loss)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the six months ended June 27, 2026, our revenue would have decreased by $91.6 million, and our operating income would have decreased by $21.6 million, if the U.S. dollar exchange rate had strengthened by 10%, with all other variables held constant.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attempt to minimize this exposure by using certain financial instruments in accordance with our overall risk management and our hedge policy. We do not enter into speculative derivative agreements.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Repurchases of Common Stock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29, 2025, our Board of Directors approved a stock repurchase program of $1.0 billion. During the six months ended June 27, 2026, we repurchased 1.7 million shares of common stock for $300.0 million under the stock repurchase program. As of June 27, 2026, we had $700.0 million remaining on the authorized $1.0 billion stock repurchase program.</w:t>
      </w:r>
    </w:p>
    <w:p>
      <w:pPr>
        <w:pStyle w:val="TextBody"/>
        <w:bidi w:val="0"/>
        <w:spacing w:lineRule="auto" w:line="288" w:before="120" w:after="120"/>
        <w:jc w:val="left"/>
        <w:rPr/>
      </w:pPr>
      <w:r>
        <w:rPr>
          <w:rFonts w:ascii="Times New Roman;serif" w:hAnsi="Times New Roman;serif"/>
          <w:b w:val="false"/>
          <w:color w:val="000000"/>
          <w:sz w:val="20"/>
        </w:rPr>
        <w:t>Additionally, our stock-based compensation plans permit the netting of common stock upon vesting of restricted stock, restricted stock units, and performance share units in order to satisfy individual statutory tax withholding requirements. During the six months ended June 27, 2026, we acquired</w:t>
      </w:r>
      <w:r>
        <w:rPr>
          <w:color w:val="000000"/>
          <w:shd w:fill="FFFFFF" w:val="clear"/>
        </w:rPr>
        <w:t xml:space="preserve">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shares for $20.7 million through such netting.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may affect the reported amounts of assets and liabilities, the reported amounts of revenues and expenses during the reported periods, and the related disclosures. These estimates and 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that the application of our accounting policies, each of which require significant judgments and estimates on the part of management, are the most critical to aid in fully understanding and evaluating our reported financial results. Our significant accounting policies are more fully described in Item 7, “Management’s Discussion and Analysis of Financial Condition and Results of Operations” of our Annual Report on Form 10-K for fiscal year 2025 as filed with the SEC on February 18, 2026. There have been no changes in our critical accounting policies during the six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a discussion of recent accounting pronouncements please refer to Note 1, “Basis of Presentation,” in this Quarterly Report on Form 10-Q. Other than as discussed in Note 1, “Basis of Presentation,” we did not adopt any other new accounting pronouncements during the six months ended June 27, 2026 that had a significant effect on our unaudited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exposure to market risk from changes in interest rates and currency exchange rates has not changed materially from its exposure discussed in the Company’s Annual Report on Form 10-K for the fiscal year ended December 27, 2025 as filed with the SEC on February 18, 2026. Our interest rate and currency exchange rate risks are fully described in Item 7, “Management’s Discussion and Analysis of Financial Condition and Results of Operations - Liquidity and Capital Resources” of our Annual Report on Form 10-K for fiscal year 2025 and in Item 2, “Management’s Discussion and Analysis of Financial Condition and Results of Operations - Liquidity and Capital Resources”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June 27, 2026,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our controls and procedures relative to their costs.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(b) Changes in Internal Controls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the Company’s internal control over financial reporting identified in connection with the evaluation required by paragraph (d) of the Exchange Act Rules 13a-15 or 15d-15 that occurred during the quarter ended June 27, 2026 that materially affected, or were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then current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2024, the plaintiff filed a notice of appeal in the United States Court of Appeals for the First Circuit. Oral arguments took place on May 5, 2025. On August 15, 2025, the U.S. Court of Appeals for the First Circuit reversed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statutory standing, and substitute Oklahoma Firefighters Pension and Retirement System.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then current Chief Executive Officer; David R. Smith, a former Chief Financial Officer; and Flavia Pease, the then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pPr>
      <w:r>
        <w:rPr>
          <w:rFonts w:ascii="Times New Roman;serif" w:hAnsi="Times New Roman;serif"/>
          <w:b w:val="false"/>
          <w:color w:val="000000"/>
          <w:sz w:val="20"/>
        </w:rPr>
        <w:t xml:space="preserve">In addition to the other information set forth in this report, you should carefully consider the factors discussed in Part I, “Item 1A. Risk Factors” in our 2025 Form 10-K and in Part II, “Item 1A. Risk Factors” in our Quarterly Report on Form 10-Q for the quarter ended March 28, 2026 (Q1 10-Q) which could materially affect our business, financial condition, and/or future results. The risks described in our 2025 Form 10-K and in our Q1 10-Q are not the only risks we face. Additional risks and uncertainties not currently known to us or that we currently deem to be immaterial also may materially adversely affect our business, financial condition, and/or operating results. Except for the risk factor disclosed in </w:t>
      </w:r>
      <w:hyperlink r:id="rId3">
        <w:r>
          <w:rPr>
            <w:rStyle w:val="InternetLink"/>
          </w:rPr>
          <w:t>Part II, I</w:t>
        </w:r>
      </w:hyperlink>
      <w:hyperlink r:id="rId4">
        <w:r>
          <w:rPr>
            <w:rStyle w:val="InternetLink"/>
          </w:rPr>
          <w:t xml:space="preserve">tem </w:t>
        </w:r>
      </w:hyperlink>
      <w:hyperlink r:id="rId5">
        <w:r>
          <w:rPr>
            <w:rStyle w:val="InternetLink"/>
          </w:rPr>
          <w:t xml:space="preserve">1A of the </w:t>
        </w:r>
      </w:hyperlink>
      <w:hyperlink r:id="rId6">
        <w:r>
          <w:rPr>
            <w:rStyle w:val="InternetLink"/>
          </w:rPr>
          <w:t>Q1 10-Q</w:t>
        </w:r>
      </w:hyperlink>
      <w:r>
        <w:rPr>
          <w:rFonts w:ascii="Times New Roman;serif" w:hAnsi="Times New Roman;serif"/>
          <w:b w:val="false"/>
          <w:color w:val="000000"/>
          <w:sz w:val="20"/>
        </w:rPr>
        <w:t>, which is hereby incorporated by reference into this Part II, Item 1A of this Form 10-Q, there have been no material changes to the Company’s risk factors since the 2025 Form 10-K.</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relating to the purchases of shares of our common stock during the three months ended June 27, 2026.</w:t>
      </w:r>
    </w:p>
    <w:tbl>
      <w:tblPr>
        <w:tblW w:w="8731" w:type="dxa"/>
        <w:jc w:val="left"/>
        <w:tblInd w:w="0" w:type="dxa"/>
        <w:tblLayout w:type="fixed"/>
        <w:tblCellMar>
          <w:top w:w="28" w:type="dxa"/>
          <w:left w:w="28" w:type="dxa"/>
          <w:bottom w:w="28" w:type="dxa"/>
          <w:right w:w="28" w:type="dxa"/>
        </w:tblCellMar>
      </w:tblPr>
      <w:tblGrid>
        <w:gridCol w:w="917"/>
        <w:gridCol w:w="804"/>
        <w:gridCol w:w="813"/>
        <w:gridCol w:w="374"/>
        <w:gridCol w:w="374"/>
        <w:gridCol w:w="376"/>
        <w:gridCol w:w="109"/>
        <w:gridCol w:w="109"/>
        <w:gridCol w:w="109"/>
        <w:gridCol w:w="235"/>
        <w:gridCol w:w="487"/>
        <w:gridCol w:w="132"/>
        <w:gridCol w:w="109"/>
        <w:gridCol w:w="109"/>
        <w:gridCol w:w="109"/>
        <w:gridCol w:w="484"/>
        <w:gridCol w:w="484"/>
        <w:gridCol w:w="486"/>
        <w:gridCol w:w="109"/>
        <w:gridCol w:w="109"/>
        <w:gridCol w:w="109"/>
        <w:gridCol w:w="321"/>
        <w:gridCol w:w="1208"/>
        <w:gridCol w:w="255"/>
      </w:tblGrid>
      <w:tr>
        <w:trPr/>
        <w:tc>
          <w:tcPr>
            <w:tcW w:w="9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Shares</w:t>
              <w:br/>
              <w:t>That May Yet Be</w:t>
              <w:br/>
              <w:t>Purchased Under</w:t>
              <w:br/>
              <w:t>the Plans or Programs</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29, 2026 to April 25,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26, 2026 to May 23, 2026</w:t>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24, 2026 to June 27,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647,660 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576,059 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4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647,660 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576,059 </w:t>
            </w:r>
          </w:p>
        </w:tc>
        <w:tc>
          <w:tcPr>
            <w:tcW w:w="4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6197"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29, 2025, our Board of Directors approved, in aggregate, a stock repurchase program of $1.0 billion. During the three months ended June 27, 2026, we repurchased 0.6 million shares of common stock for $100.0 million under the stock repurchase program. As of June 27, 2026, we had $700.0 million remaining on the authorized $1.0 billion stock repurchase program.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our stock-based compensation plans permit the netting of common stock upon vesting of restricted stock units, and performance share units in order to satisfy individual statutory tax withholding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27,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except as follows: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May 18, 2026, Birgit Girshick, our Chief Executive Officer, adopted a 10b5-1 trading plan. The adoption of such 10b5-1 trading plan occurred during an open trading window and complied with the Company’s policies on insider trading. The first trade will not occur until September 1, 2026, at the earliest. Ms. Girshick’s plan is for the sale of up to (i) 14,000 shares of our common stock and (ii) 17,314 shares of common stock underlying stock options, based on limit orders at a specified price in accordance with the plan and terminates on the earlier of the date all the shares under the plan are sold or September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5"/>
        <w:gridCol w:w="183"/>
        <w:gridCol w:w="183"/>
        <w:gridCol w:w="2158"/>
        <w:gridCol w:w="2093"/>
        <w:gridCol w:w="2099"/>
        <w:gridCol w:w="358"/>
        <w:gridCol w:w="358"/>
        <w:gridCol w:w="359"/>
        <w:gridCol w:w="228"/>
        <w:gridCol w:w="185"/>
        <w:gridCol w:w="163"/>
        <w:gridCol w:w="282"/>
        <w:gridCol w:w="248"/>
        <w:gridCol w:w="217"/>
        <w:gridCol w:w="248"/>
        <w:gridCol w:w="248"/>
        <w:gridCol w:w="300"/>
      </w:tblGrid>
      <w:tr>
        <w:trPr/>
        <w:tc>
          <w:tcPr>
            <w:tcW w:w="29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6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Exhibits</w:t>
            </w:r>
          </w:p>
        </w:tc>
        <w:tc>
          <w:tcPr>
            <w:tcW w:w="63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c>
          <w:tcPr>
            <w:tcW w:w="10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this Form 10-Q</w:t>
            </w:r>
          </w:p>
        </w:tc>
        <w:tc>
          <w:tcPr>
            <w:tcW w:w="21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6350" w:type="dxa"/>
            <w:gridSpan w:val="3"/>
            <w:vMerge w:val="continue"/>
            <w:tcBorders/>
            <w:tcMar>
              <w:top w:w="0" w:type="dxa"/>
              <w:left w:w="0" w:type="dxa"/>
              <w:bottom w:w="0" w:type="dxa"/>
              <w:right w:w="0" w:type="dxa"/>
            </w:tcMar>
            <w:vAlign w:val="center"/>
          </w:tcPr>
          <w:p>
            <w:pPr>
              <w:pStyle w:val="Normal"/>
              <w:bidi w:val="0"/>
              <w:jc w:val="left"/>
              <w:rPr/>
            </w:pPr>
            <w:r>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7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Filing Date</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 No.</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18"/>
                  <w:u w:val="single"/>
                </w:rPr>
                <w:t xml:space="preserve">Charles River Laboratories International, </w:t>
              </w:r>
            </w:hyperlink>
            <w:hyperlink r:id="rId8">
              <w:r>
                <w:rPr>
                  <w:rStyle w:val="InternetLink"/>
                  <w:rFonts w:ascii="Times New Roman;serif" w:hAnsi="Times New Roman;serif"/>
                  <w:b w:val="false"/>
                  <w:color w:val="000080"/>
                  <w:sz w:val="18"/>
                  <w:u w:val="single"/>
                </w:rPr>
                <w:t xml:space="preserve">Inc. </w:t>
              </w:r>
            </w:hyperlink>
            <w:hyperlink r:id="rId9">
              <w:r>
                <w:rPr>
                  <w:rStyle w:val="InternetLink"/>
                  <w:rFonts w:ascii="Times New Roman;serif" w:hAnsi="Times New Roman;serif"/>
                  <w:b w:val="false"/>
                  <w:color w:val="000080"/>
                  <w:sz w:val="18"/>
                  <w:u w:val="single"/>
                </w:rPr>
                <w:t>2</w:t>
              </w:r>
            </w:hyperlink>
            <w:hyperlink r:id="rId10">
              <w:r>
                <w:rPr>
                  <w:rStyle w:val="InternetLink"/>
                  <w:rFonts w:ascii="Times New Roman;serif" w:hAnsi="Times New Roman;serif"/>
                  <w:b w:val="false"/>
                  <w:color w:val="000080"/>
                  <w:sz w:val="18"/>
                  <w:u w:val="single"/>
                </w:rPr>
                <w:t>026 Long-term Incentive Plan</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11, 2026</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rl6272026ex102.htm">
              <w:r>
                <w:rPr>
                  <w:rStyle w:val="InternetLink"/>
                  <w:rFonts w:ascii="Times New Roman;serif" w:hAnsi="Times New Roman;serif"/>
                  <w:b w:val="false"/>
                  <w:color w:val="0000FF"/>
                  <w:sz w:val="18"/>
                  <w:u w:val="single"/>
                </w:rPr>
                <w:t>Charles River Laboratories International, Inc. Form of Restricted Stock Unit granted under the 2026 Long-Term Incentive Plan - United States</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rl6272026ex103.htm">
              <w:r>
                <w:rPr>
                  <w:rStyle w:val="InternetLink"/>
                  <w:rFonts w:ascii="Times New Roman;serif" w:hAnsi="Times New Roman;serif"/>
                  <w:b w:val="false"/>
                  <w:color w:val="0000FF"/>
                  <w:sz w:val="18"/>
                  <w:u w:val="single"/>
                </w:rPr>
                <w:t>Charles River Laboratories International, Inc. Form of Performance Share Unit granted under the 2026 Long-Term Incentive Plan - United States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6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rl6272026ex311.htm">
              <w:r>
                <w:rPr>
                  <w:rStyle w:val="InternetLink"/>
                  <w:rFonts w:ascii="Times New Roman;serif" w:hAnsi="Times New Roman;serif"/>
                  <w:b w:val="false"/>
                  <w:color w:val="0000FF"/>
                  <w:sz w:val="18"/>
                  <w:u w:val="single"/>
                </w:rPr>
                <w:t>Rule 13a-14(a)/15d-14(a) Certification of Chief Executive Officer</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6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rl6272026ex312.htm">
              <w:r>
                <w:rPr>
                  <w:rStyle w:val="InternetLink"/>
                  <w:rFonts w:ascii="Times New Roman;serif" w:hAnsi="Times New Roman;serif"/>
                  <w:b w:val="false"/>
                  <w:color w:val="0000FF"/>
                  <w:sz w:val="18"/>
                  <w:u w:val="single"/>
                </w:rPr>
                <w:t>Rule 13a-14(a)/15d-14(a) Certification of Chief Financial Officer</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6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rl6272026ex321.htm">
              <w:r>
                <w:rPr>
                  <w:rStyle w:val="InternetLink"/>
                  <w:rFonts w:ascii="Times New Roman;serif" w:hAnsi="Times New Roman;serif"/>
                  <w:b w:val="false"/>
                  <w:color w:val="0000FF"/>
                  <w:sz w:val="18"/>
                  <w:u w:val="single"/>
                </w:rPr>
                <w:t>Certification of the Principal Executive Officer and the Principal Financial Officer required by Rule 13a-14(a) of 15d-14(a) of the Exchange Act</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101.INS </w:t>
            </w:r>
          </w:p>
        </w:tc>
        <w:tc>
          <w:tcPr>
            <w:tcW w:w="6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eXtensible Business Reporting Language (XBRL) Instance Document - the instance document does not appear in the Interactive Data File because its XBRL tags are embedded within the Inline XBRL document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101.SCH </w:t>
            </w:r>
          </w:p>
        </w:tc>
        <w:tc>
          <w:tcPr>
            <w:tcW w:w="6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101.CAL </w:t>
            </w:r>
          </w:p>
        </w:tc>
        <w:tc>
          <w:tcPr>
            <w:tcW w:w="6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Calculation Linkbase Document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101.DEF </w:t>
            </w:r>
          </w:p>
        </w:tc>
        <w:tc>
          <w:tcPr>
            <w:tcW w:w="6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Definition Linkbase Document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101.LAB </w:t>
            </w:r>
          </w:p>
        </w:tc>
        <w:tc>
          <w:tcPr>
            <w:tcW w:w="6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Label Linkbase Document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101.PRE </w:t>
            </w:r>
          </w:p>
        </w:tc>
        <w:tc>
          <w:tcPr>
            <w:tcW w:w="6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Presentation Linkbase Document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contract or arrangement</w:t>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Furnished herein.</w:t>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LABORATORIES INTERNATIONAL,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7087"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839"/>
        <w:gridCol w:w="839"/>
        <w:gridCol w:w="839"/>
        <w:gridCol w:w="839"/>
        <w:gridCol w:w="839"/>
        <w:gridCol w:w="12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6"/>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CHARLES RIVER LABORATORIES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539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 BIRGIT GIRSHICK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Birgit Girshick</w:t>
            </w:r>
          </w:p>
          <w:p>
            <w:pPr>
              <w:pStyle w:val="TableContents"/>
              <w:bidi w:val="0"/>
              <w:spacing w:lineRule="auto" w:line="240" w:before="0" w:after="0"/>
              <w:jc w:val="both"/>
              <w:rPr>
                <w:rFonts w:ascii="Times New Roman;serif" w:hAnsi="Times New Roman;serif"/>
                <w:b w:val="false"/>
                <w:i/>
                <w:color w:val="000000"/>
                <w:sz w:val="18"/>
              </w:rPr>
            </w:pPr>
            <w:r>
              <w:rPr>
                <w:rFonts w:ascii="Times New Roman;serif" w:hAnsi="Times New Roman;serif"/>
                <w:b w:val="false"/>
                <w:i/>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539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 GLENN COLEMAN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Glenn Coleman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v:textbox>
                <w10:wrap type="none"/>
              </v:rect>
            </w:pict>
          </mc:Fallback>
        </mc:AlternateContent>
      </w:r>
    </w:p>
    <w:p>
      <w:pPr>
        <w:pStyle w:val="TextBody"/>
        <w:bidi w:val="0"/>
        <w:spacing w:lineRule="atLeast" w:line="227" w:before="79" w:after="283"/>
        <w:jc w:val="center"/>
        <w:rPr/>
      </w:pPr>
      <w:r>
        <w:rPr>
          <w:rFonts w:ascii="Arial;sans-serif" w:hAnsi="Arial;sans-serif"/>
          <w:b/>
          <w:color w:val="000000"/>
          <w:sz w:val="20"/>
        </w:rPr>
        <w:t>CHARLES</w:t>
      </w:r>
      <w:r>
        <w:rPr>
          <w:color w:val="000000"/>
        </w:rPr>
        <w:t xml:space="preserve"> </w:t>
      </w:r>
      <w:r>
        <w:rPr>
          <w:rFonts w:ascii="Arial;sans-serif" w:hAnsi="Arial;sans-serif"/>
          <w:b/>
          <w:color w:val="000000"/>
          <w:sz w:val="20"/>
        </w:rPr>
        <w:t>RIVER</w:t>
      </w:r>
      <w:r>
        <w:rPr>
          <w:color w:val="000000"/>
        </w:rPr>
        <w:t xml:space="preserve"> </w:t>
      </w:r>
      <w:r>
        <w:rPr>
          <w:rFonts w:ascii="Arial;sans-serif" w:hAnsi="Arial;sans-serif"/>
          <w:b/>
          <w:color w:val="000000"/>
          <w:sz w:val="20"/>
        </w:rPr>
        <w:t>LABORATORIES</w:t>
      </w:r>
      <w:r>
        <w:rPr>
          <w:color w:val="000000"/>
        </w:rPr>
        <w:t xml:space="preserve"> </w:t>
      </w:r>
      <w:r>
        <w:rPr>
          <w:rFonts w:ascii="Arial;sans-serif" w:hAnsi="Arial;sans-serif"/>
          <w:b/>
          <w:color w:val="000000"/>
          <w:sz w:val="20"/>
        </w:rPr>
        <w:t>INTERNATIONAL,</w:t>
      </w:r>
      <w:r>
        <w:rPr>
          <w:color w:val="000000"/>
        </w:rPr>
        <w:t xml:space="preserve"> </w:t>
      </w:r>
      <w:r>
        <w:rPr>
          <w:rFonts w:ascii="Arial;sans-serif" w:hAnsi="Arial;sans-serif"/>
          <w:b/>
          <w:color w:val="000000"/>
          <w:sz w:val="20"/>
        </w:rPr>
        <w:t>INC.</w:t>
      </w:r>
    </w:p>
    <w:p>
      <w:pPr>
        <w:pStyle w:val="TextBody"/>
        <w:bidi w:val="0"/>
        <w:spacing w:lineRule="atLeast" w:line="227" w:before="79" w:after="283"/>
        <w:jc w:val="center"/>
        <w:rPr/>
      </w:pPr>
      <w:r>
        <w:rPr>
          <w:rFonts w:ascii="Arial;sans-serif" w:hAnsi="Arial;sans-serif"/>
          <w:b/>
          <w:color w:val="000000"/>
          <w:sz w:val="20"/>
          <w:u w:val="single"/>
        </w:rPr>
        <w:t>GRANTED</w:t>
      </w:r>
      <w:r>
        <w:rPr>
          <w:color w:val="000000"/>
          <w:u w:val="single"/>
        </w:rPr>
        <w:t xml:space="preserve"> </w:t>
      </w:r>
      <w:r>
        <w:rPr>
          <w:rFonts w:ascii="Arial;sans-serif" w:hAnsi="Arial;sans-serif"/>
          <w:b/>
          <w:color w:val="000000"/>
          <w:sz w:val="20"/>
          <w:u w:val="single"/>
        </w:rPr>
        <w:t>UNDER</w:t>
      </w:r>
      <w:r>
        <w:rPr>
          <w:color w:val="000000"/>
          <w:u w:val="single"/>
        </w:rPr>
        <w:t xml:space="preserve"> </w:t>
      </w:r>
      <w:r>
        <w:rPr>
          <w:rFonts w:ascii="Arial;sans-serif" w:hAnsi="Arial;sans-serif"/>
          <w:b/>
          <w:color w:val="000000"/>
          <w:sz w:val="20"/>
          <w:u w:val="single"/>
        </w:rPr>
        <w:t>2026 LONG-TERM</w:t>
      </w:r>
      <w:r>
        <w:rPr>
          <w:color w:val="000000"/>
          <w:u w:val="single"/>
        </w:rPr>
        <w:t xml:space="preserve"> </w:t>
      </w:r>
      <w:r>
        <w:rPr>
          <w:rFonts w:ascii="Arial;sans-serif" w:hAnsi="Arial;sans-serif"/>
          <w:b/>
          <w:color w:val="000000"/>
          <w:sz w:val="20"/>
          <w:u w:val="single"/>
        </w:rPr>
        <w:t>INCENTIVE</w:t>
      </w:r>
      <w:r>
        <w:rPr>
          <w:color w:val="000000"/>
          <w:u w:val="single"/>
        </w:rPr>
        <w:t xml:space="preserve"> </w:t>
      </w:r>
      <w:r>
        <w:rPr>
          <w:rFonts w:ascii="Arial;sans-serif" w:hAnsi="Arial;sans-serif"/>
          <w:b/>
          <w:color w:val="000000"/>
          <w:sz w:val="20"/>
          <w:u w:val="single"/>
        </w:rPr>
        <w:t>PLAN</w:t>
      </w:r>
      <w:r>
        <w:rPr>
          <w:color w:val="000000"/>
        </w:rPr>
        <w:t xml:space="preserve"> </w:t>
      </w:r>
      <w:r>
        <w:rPr>
          <w:rFonts w:ascii="Arial;sans-serif" w:hAnsi="Arial;sans-serif"/>
          <w:b/>
          <w:color w:val="000000"/>
          <w:sz w:val="20"/>
        </w:rPr>
        <w:t>RESTRICTED STOCK UNIT AWARD</w:t>
      </w:r>
    </w:p>
    <w:p>
      <w:pPr>
        <w:pStyle w:val="TextBody"/>
        <w:bidi w:val="0"/>
        <w:spacing w:before="0" w:after="0"/>
        <w:jc w:val="left"/>
        <w:rPr/>
      </w:pPr>
      <w:r>
        <w:rPr/>
      </w:r>
    </w:p>
    <w:p>
      <w:pPr>
        <w:pStyle w:val="TextBody"/>
        <w:bidi w:val="0"/>
        <w:spacing w:before="50" w:after="283"/>
        <w:jc w:val="left"/>
        <w:rPr/>
      </w:pPr>
      <w:r>
        <w:rPr/>
      </w:r>
    </w:p>
    <w:p>
      <w:pPr>
        <w:pStyle w:val="TextBody"/>
        <w:bidi w:val="0"/>
        <w:spacing w:lineRule="auto" w:line="273" w:before="0" w:after="0"/>
        <w:ind w:left="0" w:right="0" w:firstLine="685"/>
        <w:jc w:val="both"/>
        <w:rPr/>
      </w:pPr>
      <w:r>
        <w:rPr>
          <w:rFonts w:ascii="Arial;sans-serif" w:hAnsi="Arial;sans-serif"/>
          <w:b w:val="false"/>
          <w:color w:val="000000"/>
          <w:sz w:val="20"/>
        </w:rPr>
        <w:t>Unless defined in this Restricted Stock Unit</w:t>
      </w:r>
      <w:r>
        <w:rPr>
          <w:color w:val="000000"/>
        </w:rPr>
        <w:t xml:space="preserve"> </w:t>
      </w:r>
      <w:r>
        <w:rPr>
          <w:rFonts w:ascii="Arial;sans-serif" w:hAnsi="Arial;sans-serif"/>
          <w:b w:val="false"/>
          <w:color w:val="000000"/>
          <w:sz w:val="20"/>
        </w:rPr>
        <w:t>Award (this “</w:t>
      </w:r>
      <w:r>
        <w:rPr>
          <w:rFonts w:ascii="Arial;sans-serif" w:hAnsi="Arial;sans-serif"/>
          <w:b/>
          <w:color w:val="000000"/>
          <w:sz w:val="20"/>
        </w:rPr>
        <w:t>Award Document</w:t>
      </w:r>
      <w:r>
        <w:rPr>
          <w:color w:val="000000"/>
        </w:rPr>
        <w:t>”</w:t>
      </w:r>
      <w:r>
        <w:rPr>
          <w:rFonts w:ascii="Arial;sans-serif" w:hAnsi="Arial;sans-serif"/>
          <w:b w:val="false"/>
          <w:color w:val="000000"/>
          <w:sz w:val="20"/>
        </w:rPr>
        <w:t>), capitalized terms will have the same meanings ascribed to them in the Charles River Laboratories International, Inc. 2026 Long-Term Incentive Plan</w:t>
      </w:r>
      <w:r>
        <w:rPr>
          <w:color w:val="000000"/>
        </w:rPr>
        <w:t xml:space="preserve"> </w:t>
      </w:r>
      <w:r>
        <w:rPr>
          <w:rFonts w:ascii="Arial;sans-serif" w:hAnsi="Arial;sans-serif"/>
          <w:b w:val="false"/>
          <w:color w:val="000000"/>
          <w:sz w:val="20"/>
        </w:rPr>
        <w:t>(the “</w:t>
      </w:r>
      <w:r>
        <w:rPr>
          <w:rFonts w:ascii="Arial;sans-serif" w:hAnsi="Arial;sans-serif"/>
          <w:b/>
          <w:color w:val="000000"/>
          <w:sz w:val="20"/>
        </w:rPr>
        <w:t>Plan</w:t>
      </w:r>
      <w:r>
        <w:rPr>
          <w:color w:val="000000"/>
        </w:rPr>
        <w:t>”</w:t>
      </w:r>
      <w:r>
        <w:rPr>
          <w:rFonts w:ascii="Arial;sans-serif" w:hAnsi="Arial;sans-serif"/>
          <w:b w:val="false"/>
          <w:color w:val="000000"/>
          <w:sz w:val="20"/>
        </w:rPr>
        <w:t>).</w:t>
      </w:r>
    </w:p>
    <w:p>
      <w:pPr>
        <w:pStyle w:val="TextBody"/>
        <w:bidi w:val="0"/>
        <w:spacing w:before="38" w:after="283"/>
        <w:jc w:val="left"/>
        <w:rPr/>
      </w:pPr>
      <w:r>
        <w:rPr/>
      </w:r>
    </w:p>
    <w:p>
      <w:pPr>
        <w:pStyle w:val="TextBody"/>
        <w:bidi w:val="0"/>
        <w:spacing w:lineRule="auto" w:line="273" w:before="1" w:after="283"/>
        <w:ind w:left="0" w:right="0" w:firstLine="685"/>
        <w:jc w:val="both"/>
        <w:rPr/>
      </w:pPr>
      <w:r>
        <w:rPr>
          <w:rFonts w:ascii="Arial;sans-serif" w:hAnsi="Arial;sans-serif"/>
          <w:b w:val="false"/>
          <w:color w:val="000000"/>
          <w:sz w:val="20"/>
        </w:rPr>
        <w:t>Pursuant to Section 4(c) of the Plan, you have been granted restricted units of Common Stock on the following terms and subject to the provisions of the Plan, which is incorporated by reference.</w:t>
      </w:r>
      <w:r>
        <w:rPr>
          <w:color w:val="000000"/>
        </w:rPr>
        <w:t xml:space="preserve"> </w:t>
      </w:r>
      <w:r>
        <w:rPr>
          <w:rFonts w:ascii="Arial;sans-serif" w:hAnsi="Arial;sans-serif"/>
          <w:b w:val="false"/>
          <w:color w:val="000000"/>
          <w:sz w:val="20"/>
        </w:rPr>
        <w:t>In the event of a conflict</w:t>
      </w:r>
      <w:r>
        <w:rPr>
          <w:color w:val="000000"/>
        </w:rPr>
        <w:t xml:space="preserve"> </w:t>
      </w:r>
      <w:r>
        <w:rPr>
          <w:rFonts w:ascii="Arial;sans-serif" w:hAnsi="Arial;sans-serif"/>
          <w:b w:val="false"/>
          <w:color w:val="000000"/>
          <w:sz w:val="20"/>
        </w:rPr>
        <w:t>between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provisions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Document,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provisions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prevail.</w:t>
      </w:r>
      <w:r>
        <w:rPr>
          <w:color w:val="000000"/>
        </w:rPr>
        <w:t xml:space="preserve"> </w:t>
      </w:r>
      <w:r>
        <w:rPr>
          <w:rFonts w:ascii="Arial;sans-serif" w:hAnsi="Arial;sans-serif"/>
          <w:b w:val="false"/>
          <w:color w:val="000000"/>
          <w:sz w:val="20"/>
        </w:rPr>
        <w:t>Each unit entitles you to receive one share of the Company’s Common Stock at such time as your units vest in accordance with the schedule set forth below.</w:t>
      </w:r>
      <w:r>
        <w:rPr>
          <w:color w:val="000000"/>
        </w:rPr>
        <w:t xml:space="preserve"> </w:t>
      </w:r>
      <w:r>
        <w:rPr>
          <w:rFonts w:ascii="Arial;sans-serif" w:hAnsi="Arial;sans-serif"/>
          <w:b w:val="false"/>
          <w:color w:val="000000"/>
          <w:sz w:val="20"/>
        </w:rPr>
        <w:t>The grant of the units to you does not transfer title to the underlying shares to you until such units have vested.</w:t>
      </w:r>
      <w:r>
        <w:rPr>
          <w:color w:val="000000"/>
        </w:rPr>
        <w:t xml:space="preserve"> </w:t>
      </w:r>
      <w:r>
        <w:rPr>
          <w:rFonts w:ascii="Arial;sans-serif" w:hAnsi="Arial;sans-serif"/>
          <w:b w:val="false"/>
          <w:color w:val="000000"/>
          <w:sz w:val="20"/>
        </w:rPr>
        <w:t>Therefore, you do not have any voting or dividend rights relating to the underlying shares until</w:t>
      </w:r>
      <w:r>
        <w:rPr>
          <w:color w:val="000000"/>
        </w:rPr>
        <w:t xml:space="preserve"> </w:t>
      </w:r>
      <w:r>
        <w:rPr>
          <w:rFonts w:ascii="Arial;sans-serif" w:hAnsi="Arial;sans-serif"/>
          <w:b w:val="false"/>
          <w:color w:val="000000"/>
          <w:sz w:val="20"/>
        </w:rPr>
        <w:t>such time as units vest; however any dividend equivalents on the unvested portion of your restricted stock units will be held in an escrow account until such shares vest.</w:t>
      </w:r>
    </w:p>
    <w:p>
      <w:pPr>
        <w:pStyle w:val="TextBody"/>
        <w:bidi w:val="0"/>
        <w:spacing w:before="74"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 w:after="283"/>
        <w:jc w:val="left"/>
        <w:rPr/>
      </w:pPr>
      <w:r>
        <w:rPr/>
      </w:r>
    </w:p>
    <w:p>
      <w:pPr>
        <w:pStyle w:val="TextBody"/>
        <w:bidi w:val="0"/>
        <w:spacing w:before="0" w:after="0"/>
        <w:jc w:val="right"/>
        <w:rPr/>
      </w:pPr>
      <w:r>
        <w:rPr/>
      </w:r>
    </w:p>
    <w:p>
      <w:pPr>
        <w:pStyle w:val="TextBody"/>
        <w:bidi w:val="0"/>
        <w:spacing w:before="94" w:after="283"/>
        <w:jc w:val="left"/>
        <w:rPr/>
      </w:pPr>
      <w:r>
        <w:rPr/>
      </w:r>
    </w:p>
    <w:p>
      <w:pPr>
        <w:pStyle w:val="TextBody"/>
        <w:bidi w:val="0"/>
        <w:spacing w:lineRule="auto" w:line="472" w:before="0" w:after="0"/>
        <w:jc w:val="left"/>
        <w:rPr/>
      </w:pPr>
      <w:r>
        <w:rPr>
          <w:rFonts w:ascii="Arial;sans-serif" w:hAnsi="Arial;sans-serif"/>
          <w:b/>
          <w:color w:val="000000"/>
          <w:sz w:val="20"/>
        </w:rPr>
        <w:t>Name:</w:t>
      </w:r>
      <w:r>
        <w:rPr>
          <w:color w:val="000000"/>
        </w:rPr>
        <w:t xml:space="preserve"> </w:t>
      </w:r>
      <w:r>
        <w:rPr>
          <w:rFonts w:ascii="Arial;sans-serif" w:hAnsi="Arial;sans-serif"/>
          <w:b/>
          <w:color w:val="008000"/>
          <w:sz w:val="20"/>
        </w:rPr>
        <w:t>[Participant</w:t>
      </w:r>
      <w:r>
        <w:rPr>
          <w:color w:val="008000"/>
        </w:rPr>
        <w:t xml:space="preserve"> </w:t>
      </w:r>
      <w:r>
        <w:rPr>
          <w:rFonts w:ascii="Arial;sans-serif" w:hAnsi="Arial;sans-serif"/>
          <w:b/>
          <w:color w:val="008000"/>
          <w:sz w:val="20"/>
        </w:rPr>
        <w:t>Name:First</w:t>
      </w:r>
      <w:r>
        <w:rPr>
          <w:color w:val="008000"/>
        </w:rPr>
        <w:t xml:space="preserve"> </w:t>
      </w:r>
      <w:r>
        <w:rPr>
          <w:rFonts w:ascii="Arial;sans-serif" w:hAnsi="Arial;sans-serif"/>
          <w:b/>
          <w:color w:val="008000"/>
          <w:sz w:val="20"/>
        </w:rPr>
        <w:t>Name</w:t>
      </w:r>
      <w:r>
        <w:rPr>
          <w:color w:val="008000"/>
        </w:rPr>
        <w:t xml:space="preserve"> </w:t>
      </w:r>
      <w:r>
        <w:rPr>
          <w:rFonts w:ascii="Arial;sans-serif" w:hAnsi="Arial;sans-serif"/>
          <w:b/>
          <w:color w:val="008000"/>
          <w:sz w:val="20"/>
        </w:rPr>
        <w:t>Last</w:t>
      </w:r>
      <w:r>
        <w:rPr>
          <w:color w:val="008000"/>
        </w:rPr>
        <w:t xml:space="preserve"> </w:t>
      </w:r>
      <w:r>
        <w:rPr>
          <w:rFonts w:ascii="Arial;sans-serif" w:hAnsi="Arial;sans-serif"/>
          <w:b/>
          <w:color w:val="008000"/>
          <w:sz w:val="20"/>
        </w:rPr>
        <w:t xml:space="preserve">Name] </w:t>
      </w:r>
    </w:p>
    <w:p>
      <w:pPr>
        <w:pStyle w:val="TextBody"/>
        <w:bidi w:val="0"/>
        <w:spacing w:lineRule="auto" w:line="472" w:before="94" w:after="283"/>
        <w:jc w:val="left"/>
        <w:rPr/>
      </w:pPr>
      <w:r>
        <w:rPr>
          <w:rFonts w:ascii="Arial;sans-serif" w:hAnsi="Arial;sans-serif"/>
          <w:b/>
          <w:color w:val="000000"/>
          <w:sz w:val="20"/>
        </w:rPr>
        <w:t>Total</w:t>
      </w:r>
      <w:r>
        <w:rPr>
          <w:color w:val="000000"/>
        </w:rPr>
        <w:t xml:space="preserve"> </w:t>
      </w:r>
      <w:r>
        <w:rPr>
          <w:rFonts w:ascii="Arial;sans-serif" w:hAnsi="Arial;sans-serif"/>
          <w:b/>
          <w:color w:val="000000"/>
          <w:sz w:val="20"/>
        </w:rPr>
        <w:t>Number</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Units</w:t>
      </w:r>
      <w:r>
        <w:rPr>
          <w:color w:val="000000"/>
        </w:rPr>
        <w:t xml:space="preserve"> </w:t>
      </w:r>
      <w:r>
        <w:rPr>
          <w:rFonts w:ascii="Arial;sans-serif" w:hAnsi="Arial;sans-serif"/>
          <w:b/>
          <w:color w:val="000000"/>
          <w:sz w:val="20"/>
        </w:rPr>
        <w:t>Granted:</w:t>
      </w:r>
      <w:r>
        <w:rPr>
          <w:color w:val="000000"/>
        </w:rPr>
        <w:t xml:space="preserve"> </w:t>
      </w:r>
      <w:r>
        <w:rPr>
          <w:rFonts w:ascii="Arial;sans-serif" w:hAnsi="Arial;sans-serif"/>
          <w:b/>
          <w:color w:val="008000"/>
          <w:sz w:val="20"/>
        </w:rPr>
        <w:t>[Granted:Shares Granted]</w:t>
      </w:r>
    </w:p>
    <w:p>
      <w:pPr>
        <w:pStyle w:val="TextBody"/>
        <w:bidi w:val="0"/>
        <w:spacing w:lineRule="auto" w:line="288" w:before="58" w:after="283"/>
        <w:jc w:val="left"/>
        <w:rPr/>
      </w:pPr>
      <w:r>
        <w:rPr>
          <w:rFonts w:ascii="Arial;sans-serif" w:hAnsi="Arial;sans-serif"/>
          <w:b/>
          <w:color w:val="000000"/>
          <w:sz w:val="20"/>
        </w:rPr>
        <w:t>Date</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 xml:space="preserve">Grant: </w:t>
      </w:r>
      <w:r>
        <w:rPr>
          <w:rFonts w:ascii="Arial;sans-serif" w:hAnsi="Arial;sans-serif"/>
          <w:b/>
          <w:color w:val="008000"/>
          <w:sz w:val="20"/>
        </w:rPr>
        <w:t>[Grant</w:t>
      </w:r>
      <w:r>
        <w:rPr>
          <w:color w:val="008000"/>
        </w:rPr>
        <w:t xml:space="preserve"> </w:t>
      </w:r>
      <w:r>
        <w:rPr>
          <w:rFonts w:ascii="Arial;sans-serif" w:hAnsi="Arial;sans-serif"/>
          <w:b/>
          <w:color w:val="008000"/>
          <w:sz w:val="20"/>
        </w:rPr>
        <w:t>Date:Month</w:t>
      </w:r>
      <w:r>
        <w:rPr>
          <w:color w:val="008000"/>
        </w:rPr>
        <w:t xml:space="preserve"> </w:t>
      </w:r>
      <w:r>
        <w:rPr>
          <w:rFonts w:ascii="Arial;sans-serif" w:hAnsi="Arial;sans-serif"/>
          <w:b/>
          <w:color w:val="008000"/>
          <w:sz w:val="20"/>
        </w:rPr>
        <w:t>DD,</w:t>
      </w:r>
      <w:r>
        <w:rPr>
          <w:color w:val="008000"/>
        </w:rPr>
        <w:t xml:space="preserve"> </w:t>
      </w:r>
      <w:r>
        <w:rPr>
          <w:rFonts w:ascii="Arial;sans-serif" w:hAnsi="Arial;sans-serif"/>
          <w:b/>
          <w:color w:val="008000"/>
          <w:sz w:val="20"/>
        </w:rPr>
        <w:t>YYYY]</w:t>
      </w:r>
    </w:p>
    <w:p>
      <w:pPr>
        <w:pStyle w:val="TextBody"/>
        <w:bidi w:val="0"/>
        <w:spacing w:lineRule="auto" w:line="288" w:before="205" w:after="283"/>
        <w:jc w:val="left"/>
        <w:rPr/>
      </w:pPr>
      <w:r>
        <w:rPr>
          <w:rFonts w:ascii="Arial;sans-serif" w:hAnsi="Arial;sans-serif"/>
          <w:b/>
          <w:color w:val="000000"/>
          <w:sz w:val="20"/>
        </w:rPr>
        <w:t>Vesting</w:t>
      </w:r>
      <w:r>
        <w:rPr>
          <w:color w:val="000000"/>
        </w:rPr>
        <w:t xml:space="preserve"> </w:t>
      </w:r>
      <w:r>
        <w:rPr>
          <w:rFonts w:ascii="Arial;sans-serif" w:hAnsi="Arial;sans-serif"/>
          <w:b/>
          <w:color w:val="000000"/>
          <w:sz w:val="20"/>
        </w:rPr>
        <w:t>Schedule:</w:t>
      </w:r>
      <w:r>
        <w:rPr>
          <w:color w:val="000000"/>
        </w:rPr>
        <w:t xml:space="preserve"> </w:t>
      </w:r>
      <w:r>
        <w:rPr>
          <w:rFonts w:ascii="Arial;sans-serif" w:hAnsi="Arial;sans-serif"/>
          <w:b w:val="false"/>
          <w:color w:val="000000"/>
          <w:sz w:val="20"/>
        </w:rPr>
        <w:t>Vesting</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per</w:t>
      </w:r>
      <w:r>
        <w:rPr>
          <w:color w:val="000000"/>
        </w:rPr>
        <w:t xml:space="preserve"> </w:t>
      </w:r>
      <w:r>
        <w:rPr>
          <w:rFonts w:ascii="Arial;sans-serif" w:hAnsi="Arial;sans-serif"/>
          <w:b w:val="false"/>
          <w:color w:val="000000"/>
          <w:sz w:val="20"/>
        </w:rPr>
        <w:t>below</w:t>
      </w:r>
      <w:r>
        <w:rPr>
          <w:color w:val="000000"/>
        </w:rPr>
        <w:t xml:space="preserve"> </w:t>
      </w:r>
      <w:r>
        <w:rPr>
          <w:rFonts w:ascii="Arial;sans-serif" w:hAnsi="Arial;sans-serif"/>
          <w:b w:val="false"/>
          <w:color w:val="000000"/>
          <w:sz w:val="20"/>
        </w:rPr>
        <w:t>schedule</w:t>
      </w:r>
    </w:p>
    <w:p>
      <w:pPr>
        <w:pStyle w:val="TextBody"/>
        <w:bidi w:val="0"/>
        <w:spacing w:before="0" w:after="0"/>
        <w:jc w:val="left"/>
        <w:rPr/>
      </w:pPr>
      <w:r>
        <w:rPr/>
      </w:r>
    </w:p>
    <w:p>
      <w:pPr>
        <w:pStyle w:val="TextBody"/>
        <w:bidi w:val="0"/>
        <w:spacing w:before="51" w:after="283"/>
        <w:jc w:val="left"/>
        <w:rPr/>
      </w:pPr>
      <w:r>
        <w:rPr/>
      </w:r>
    </w:p>
    <w:p>
      <w:pPr>
        <w:pStyle w:val="TextBody"/>
        <w:bidi w:val="0"/>
        <w:spacing w:lineRule="auto" w:line="288" w:before="0" w:after="0"/>
        <w:jc w:val="left"/>
        <w:rPr/>
      </w:pPr>
      <w:r>
        <w:rPr>
          <w:rFonts w:ascii="Arial;sans-serif" w:hAnsi="Arial;sans-serif"/>
          <w:b w:val="false"/>
          <w:color w:val="008000"/>
          <w:sz w:val="22"/>
        </w:rPr>
        <w:t>[Vesting</w:t>
      </w:r>
      <w:r>
        <w:rPr>
          <w:color w:val="008000"/>
        </w:rPr>
        <w:t xml:space="preserve"> </w:t>
      </w:r>
      <w:r>
        <w:rPr>
          <w:rFonts w:ascii="Arial;sans-serif" w:hAnsi="Arial;sans-serif"/>
          <w:b w:val="false"/>
          <w:color w:val="008000"/>
          <w:sz w:val="22"/>
        </w:rPr>
        <w:t>Table:Month</w:t>
      </w:r>
      <w:r>
        <w:rPr>
          <w:color w:val="008000"/>
        </w:rPr>
        <w:t xml:space="preserve"> </w:t>
      </w:r>
      <w:r>
        <w:rPr>
          <w:rFonts w:ascii="Arial;sans-serif" w:hAnsi="Arial;sans-serif"/>
          <w:b w:val="false"/>
          <w:color w:val="008000"/>
          <w:sz w:val="22"/>
        </w:rPr>
        <w:t>DD,</w:t>
      </w:r>
      <w:r>
        <w:rPr>
          <w:color w:val="008000"/>
        </w:rPr>
        <w:t xml:space="preserve"> </w:t>
      </w:r>
      <w:r>
        <w:rPr>
          <w:rFonts w:ascii="Arial;sans-serif" w:hAnsi="Arial;sans-serif"/>
          <w:b w:val="false"/>
          <w:color w:val="008000"/>
          <w:sz w:val="22"/>
        </w:rPr>
        <w:t>YYYY,</w:t>
      </w:r>
      <w:r>
        <w:rPr>
          <w:color w:val="008000"/>
        </w:rPr>
        <w:t xml:space="preserve"> </w:t>
      </w:r>
      <w:r>
        <w:rPr>
          <w:rFonts w:ascii="Arial;sans-serif" w:hAnsi="Arial;sans-serif"/>
          <w:b w:val="false"/>
          <w:color w:val="008000"/>
          <w:sz w:val="22"/>
        </w:rPr>
        <w:t>quantity]</w:t>
      </w:r>
    </w:p>
    <w:p>
      <w:pPr>
        <w:pStyle w:val="TextBody"/>
        <w:bidi w:val="0"/>
        <w:spacing w:before="0" w:after="0"/>
        <w:jc w:val="left"/>
        <w:rPr/>
      </w:pPr>
      <w:r>
        <w:rPr/>
      </w:r>
    </w:p>
    <w:p>
      <w:pPr>
        <w:pStyle w:val="TextBody"/>
        <w:bidi w:val="0"/>
        <w:spacing w:before="15" w:after="283"/>
        <w:jc w:val="left"/>
        <w:rPr/>
      </w:pPr>
      <w:r>
        <w:rPr/>
      </w:r>
    </w:p>
    <w:p>
      <w:pPr>
        <w:pStyle w:val="TextBody"/>
        <w:bidi w:val="0"/>
        <w:spacing w:lineRule="auto" w:line="273" w:before="0" w:after="0"/>
        <w:jc w:val="both"/>
        <w:rPr/>
      </w:pPr>
      <w:r>
        <w:rPr>
          <w:rFonts w:ascii="Arial;sans-serif" w:hAnsi="Arial;sans-serif"/>
          <w:b w:val="false"/>
          <w:color w:val="000000"/>
          <w:sz w:val="20"/>
        </w:rPr>
        <w:t xml:space="preserve">This Restricted Stock Units Award is made to you expressly on the condition that the shares underlying such award are granted under and governed by the terms and conditions of the Plan and the terms and conditions set forth in the attached </w:t>
      </w:r>
      <w:r>
        <w:rPr>
          <w:rFonts w:ascii="Arial;sans-serif" w:hAnsi="Arial;sans-serif"/>
          <w:b w:val="false"/>
          <w:color w:val="000000"/>
          <w:sz w:val="20"/>
          <w:u w:val="single"/>
        </w:rPr>
        <w:t>Exhibit A</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15" w:after="283"/>
        <w:jc w:val="left"/>
        <w:rPr/>
      </w:pPr>
      <w:r>
        <w:rPr/>
      </w:r>
    </w:p>
    <w:p>
      <w:pPr>
        <w:pStyle w:val="TextBody"/>
        <w:bidi w:val="0"/>
        <w:spacing w:lineRule="auto" w:line="288" w:before="0" w:after="0"/>
        <w:jc w:val="left"/>
        <w:rPr/>
      </w:pPr>
      <w:r>
        <w:rPr>
          <w:rFonts w:ascii="Arial;sans-serif" w:hAnsi="Arial;sans-serif"/>
          <w:b/>
          <w:color w:val="000000"/>
          <w:sz w:val="20"/>
        </w:rPr>
        <w:t>CHARLES</w:t>
      </w:r>
      <w:r>
        <w:rPr>
          <w:color w:val="000000"/>
        </w:rPr>
        <w:t xml:space="preserve"> </w:t>
      </w:r>
      <w:r>
        <w:rPr>
          <w:rFonts w:ascii="Arial;sans-serif" w:hAnsi="Arial;sans-serif"/>
          <w:b/>
          <w:color w:val="000000"/>
          <w:sz w:val="20"/>
        </w:rPr>
        <w:t>RIVER</w:t>
      </w:r>
      <w:r>
        <w:rPr>
          <w:color w:val="000000"/>
        </w:rPr>
        <w:t xml:space="preserve"> </w:t>
      </w:r>
      <w:r>
        <w:rPr>
          <w:rFonts w:ascii="Arial;sans-serif" w:hAnsi="Arial;sans-serif"/>
          <w:b/>
          <w:color w:val="000000"/>
          <w:sz w:val="20"/>
        </w:rPr>
        <w:t>LABORATORIES</w:t>
      </w:r>
      <w:r>
        <w:rPr>
          <w:color w:val="000000"/>
        </w:rPr>
        <w:t xml:space="preserve"> </w:t>
      </w:r>
      <w:r>
        <w:rPr>
          <w:rFonts w:ascii="Arial;sans-serif" w:hAnsi="Arial;sans-serif"/>
          <w:b/>
          <w:color w:val="000000"/>
          <w:sz w:val="20"/>
        </w:rPr>
        <w:t>INTERNATIONAL,</w:t>
      </w:r>
      <w:r>
        <w:rPr>
          <w:color w:val="000000"/>
        </w:rPr>
        <w:t xml:space="preserve"> </w:t>
      </w:r>
      <w:r>
        <w:rPr>
          <w:rFonts w:ascii="Arial;sans-serif" w:hAnsi="Arial;sans-serif"/>
          <w:b/>
          <w:color w:val="000000"/>
          <w:sz w:val="20"/>
        </w:rPr>
        <w:t>INC.</w:t>
      </w:r>
    </w:p>
    <w:p>
      <w:pPr>
        <w:pStyle w:val="TextBody"/>
        <w:bidi w:val="0"/>
        <w:spacing w:before="7" w:after="283"/>
        <w:jc w:val="left"/>
        <w:rPr/>
      </w:pPr>
      <w:r>
        <w:rPr/>
      </w:r>
    </w:p>
    <w:p>
      <w:pPr>
        <w:pStyle w:val="TextBody"/>
        <w:bidi w:val="0"/>
        <w:spacing w:before="190" w:after="283"/>
        <w:jc w:val="left"/>
        <w:rPr/>
      </w:pPr>
      <w:r>
        <w:rPr/>
      </w:r>
    </w:p>
    <w:p>
      <w:pPr>
        <w:pStyle w:val="TextBody"/>
        <w:bidi w:val="0"/>
        <w:spacing w:lineRule="atLeast" w:line="227" w:before="16" w:after="180"/>
        <w:jc w:val="left"/>
        <w:rPr/>
      </w:pPr>
      <w:r>
        <w:rPr>
          <w:rFonts w:ascii="Arial;sans-serif" w:hAnsi="Arial;sans-serif"/>
          <w:b w:val="false"/>
          <w:color w:val="000000"/>
          <w:sz w:val="20"/>
          <w:u w:val="single"/>
        </w:rPr>
        <w:t>/s/ Victoria Creamer        </w:t>
      </w:r>
      <w:r>
        <w:rPr>
          <w:color w:val="000000"/>
          <w:u w:val="single"/>
        </w:rPr>
        <w:t>    </w:t>
      </w:r>
    </w:p>
    <w:p>
      <w:pPr>
        <w:pStyle w:val="TextBody"/>
        <w:bidi w:val="0"/>
        <w:spacing w:lineRule="atLeast" w:line="227" w:before="16" w:after="283"/>
        <w:jc w:val="left"/>
        <w:rPr/>
      </w:pPr>
      <w:r>
        <w:rPr>
          <w:rFonts w:ascii="Arial;sans-serif" w:hAnsi="Arial;sans-serif"/>
          <w:b/>
          <w:color w:val="000000"/>
          <w:sz w:val="20"/>
        </w:rPr>
        <w:t>Victoria</w:t>
      </w:r>
      <w:r>
        <w:rPr>
          <w:color w:val="000000"/>
        </w:rPr>
        <w:t xml:space="preserve"> </w:t>
      </w:r>
      <w:r>
        <w:rPr>
          <w:rFonts w:ascii="Arial;sans-serif" w:hAnsi="Arial;sans-serif"/>
          <w:b/>
          <w:color w:val="000000"/>
          <w:sz w:val="20"/>
        </w:rPr>
        <w:t xml:space="preserve">Creamer </w:t>
      </w:r>
    </w:p>
    <w:p>
      <w:pPr>
        <w:pStyle w:val="TextBody"/>
        <w:bidi w:val="0"/>
        <w:spacing w:lineRule="atLeast" w:line="227" w:before="16" w:after="283"/>
        <w:jc w:val="left"/>
        <w:rPr/>
      </w:pPr>
      <w:r>
        <w:rPr>
          <w:rFonts w:ascii="Arial;sans-serif" w:hAnsi="Arial;sans-serif"/>
          <w:b/>
          <w:color w:val="000000"/>
          <w:sz w:val="20"/>
        </w:rPr>
        <w:t>CEVP</w:t>
      </w:r>
      <w:r>
        <w:rPr>
          <w:color w:val="000000"/>
        </w:rPr>
        <w:t xml:space="preserve"> </w:t>
      </w:r>
      <w:r>
        <w:rPr>
          <w:rFonts w:ascii="Arial;sans-serif" w:hAnsi="Arial;sans-serif"/>
          <w:b/>
          <w:color w:val="000000"/>
          <w:sz w:val="20"/>
        </w:rPr>
        <w:t>&amp;</w:t>
      </w:r>
      <w:r>
        <w:rPr>
          <w:color w:val="000000"/>
        </w:rPr>
        <w:t xml:space="preserve"> </w:t>
      </w:r>
      <w:r>
        <w:rPr>
          <w:rFonts w:ascii="Arial;sans-serif" w:hAnsi="Arial;sans-serif"/>
          <w:b/>
          <w:color w:val="000000"/>
          <w:sz w:val="20"/>
        </w:rPr>
        <w:t>Chief</w:t>
      </w:r>
      <w:r>
        <w:rPr>
          <w:color w:val="000000"/>
        </w:rPr>
        <w:t xml:space="preserve"> </w:t>
      </w:r>
      <w:r>
        <w:rPr>
          <w:rFonts w:ascii="Arial;sans-serif" w:hAnsi="Arial;sans-serif"/>
          <w:b/>
          <w:color w:val="000000"/>
          <w:sz w:val="20"/>
        </w:rPr>
        <w:t>People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4" w:after="283"/>
        <w:jc w:val="center"/>
        <w:rPr>
          <w:rFonts w:ascii="Arial;sans-serif" w:hAnsi="Arial;sans-serif"/>
          <w:b/>
          <w:color w:val="000000"/>
          <w:sz w:val="20"/>
        </w:rPr>
      </w:pPr>
      <w:r>
        <w:rPr>
          <w:rFonts w:ascii="Arial;sans-serif" w:hAnsi="Arial;sans-serif"/>
          <w:b/>
          <w:color w:val="000000"/>
          <w:sz w:val="20"/>
        </w:rPr>
        <w:t>EXHIBIT A</w:t>
      </w:r>
    </w:p>
    <w:p>
      <w:pPr>
        <w:pStyle w:val="TextBody"/>
        <w:bidi w:val="0"/>
        <w:spacing w:before="0" w:after="0"/>
        <w:jc w:val="left"/>
        <w:rPr/>
      </w:pPr>
      <w:r>
        <w:rPr/>
      </w:r>
    </w:p>
    <w:p>
      <w:pPr>
        <w:pStyle w:val="TextBody"/>
        <w:bidi w:val="0"/>
        <w:spacing w:before="153" w:after="283"/>
        <w:jc w:val="left"/>
        <w:rPr/>
      </w:pPr>
      <w:r>
        <w:rPr/>
      </w:r>
    </w:p>
    <w:p>
      <w:pPr>
        <w:pStyle w:val="TextBody"/>
        <w:bidi w:val="0"/>
        <w:spacing w:lineRule="auto" w:line="273" w:before="1" w:after="283"/>
        <w:jc w:val="center"/>
        <w:rPr/>
      </w:pPr>
      <w:r>
        <w:rPr>
          <w:rFonts w:ascii="Arial;sans-serif" w:hAnsi="Arial;sans-serif"/>
          <w:b/>
          <w:color w:val="000000"/>
          <w:sz w:val="20"/>
        </w:rPr>
        <w:t>TERMS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CONDITIONS OF RESTRICTED STOCK UNIT AWARD</w:t>
      </w:r>
    </w:p>
    <w:p>
      <w:pPr>
        <w:pStyle w:val="TextBody"/>
        <w:bidi w:val="0"/>
        <w:spacing w:before="0" w:after="0"/>
        <w:jc w:val="left"/>
        <w:rPr/>
      </w:pPr>
      <w:r>
        <w:rPr/>
      </w:r>
    </w:p>
    <w:p>
      <w:pPr>
        <w:pStyle w:val="TextBody"/>
        <w:bidi w:val="0"/>
        <w:spacing w:before="59" w:after="283"/>
        <w:jc w:val="left"/>
        <w:rPr/>
      </w:pPr>
      <w:r>
        <w:rPr/>
      </w:r>
    </w:p>
    <w:p>
      <w:pPr>
        <w:pStyle w:val="TextBody"/>
        <w:bidi w:val="0"/>
        <w:spacing w:lineRule="auto" w:line="288" w:before="1" w:after="283"/>
        <w:jc w:val="left"/>
        <w:rPr/>
      </w:pPr>
      <w:r>
        <w:rPr>
          <w:rFonts w:ascii="Arial;sans-serif" w:hAnsi="Arial;sans-serif"/>
          <w:b/>
          <w:color w:val="000000"/>
          <w:sz w:val="20"/>
          <w:u w:val="single"/>
        </w:rPr>
        <w:t>Payment</w:t>
      </w:r>
      <w:r>
        <w:rPr>
          <w:color w:val="000000"/>
          <w:u w:val="single"/>
        </w:rPr>
        <w:t xml:space="preserve"> </w:t>
      </w:r>
      <w:r>
        <w:rPr>
          <w:rFonts w:ascii="Arial;sans-serif" w:hAnsi="Arial;sans-serif"/>
          <w:b/>
          <w:color w:val="000000"/>
          <w:sz w:val="20"/>
          <w:u w:val="single"/>
        </w:rPr>
        <w:t>for Shares</w:t>
      </w:r>
    </w:p>
    <w:p>
      <w:pPr>
        <w:pStyle w:val="TextBody"/>
        <w:bidi w:val="0"/>
        <w:spacing w:lineRule="auto" w:line="273" w:before="103" w:after="283"/>
        <w:ind w:left="0" w:right="0" w:firstLine="685"/>
        <w:jc w:val="left"/>
        <w:rPr/>
      </w:pPr>
      <w:r>
        <w:rPr>
          <w:rFonts w:ascii="Arial;sans-serif" w:hAnsi="Arial;sans-serif"/>
          <w:b w:val="false"/>
          <w:color w:val="000000"/>
          <w:sz w:val="20"/>
        </w:rPr>
        <w:t>No</w:t>
      </w:r>
      <w:r>
        <w:rPr>
          <w:color w:val="000000"/>
        </w:rPr>
        <w:t xml:space="preserve"> </w:t>
      </w:r>
      <w:r>
        <w:rPr>
          <w:rFonts w:ascii="Arial;sans-serif" w:hAnsi="Arial;sans-serif"/>
          <w:b w:val="false"/>
          <w:color w:val="000000"/>
          <w:sz w:val="20"/>
        </w:rPr>
        <w:t>payment</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required</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Restricted</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Units</w:t>
      </w:r>
      <w:r>
        <w:rPr>
          <w:color w:val="000000"/>
        </w:rPr>
        <w:t xml:space="preserve"> </w:t>
      </w:r>
      <w:r>
        <w:rPr>
          <w:rFonts w:ascii="Arial;sans-serif" w:hAnsi="Arial;sans-serif"/>
          <w:b w:val="false"/>
          <w:color w:val="000000"/>
          <w:sz w:val="20"/>
        </w:rPr>
        <w:t>(</w:t>
      </w:r>
      <w:r>
        <w:rPr>
          <w:color w:val="000000"/>
        </w:rPr>
        <w:t>“</w:t>
      </w:r>
      <w:r>
        <w:rPr>
          <w:rFonts w:ascii="Arial;sans-serif" w:hAnsi="Arial;sans-serif"/>
          <w:b/>
          <w:color w:val="000000"/>
          <w:sz w:val="20"/>
        </w:rPr>
        <w:t>RSU”s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receive</w:t>
      </w:r>
      <w:r>
        <w:rPr>
          <w:color w:val="000000"/>
        </w:rPr>
        <w:t xml:space="preserve"> </w:t>
      </w:r>
      <w:r>
        <w:rPr>
          <w:rFonts w:ascii="Arial;sans-serif" w:hAnsi="Arial;sans-serif"/>
          <w:b w:val="false"/>
          <w:color w:val="000000"/>
          <w:sz w:val="20"/>
        </w:rPr>
        <w:t>under</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nor</w:t>
      </w:r>
      <w:r>
        <w:rPr>
          <w:color w:val="000000"/>
        </w:rPr>
        <w:t xml:space="preserve"> </w:t>
      </w:r>
      <w:r>
        <w:rPr>
          <w:rFonts w:ascii="Arial;sans-serif" w:hAnsi="Arial;sans-serif"/>
          <w:b w:val="false"/>
          <w:color w:val="000000"/>
          <w:sz w:val="20"/>
        </w:rPr>
        <w:t>for the underlying Shares upon vesting of the RSUs.</w:t>
      </w:r>
    </w:p>
    <w:p>
      <w:pPr>
        <w:pStyle w:val="TextBody"/>
        <w:bidi w:val="0"/>
        <w:spacing w:before="96" w:after="283"/>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Vesting</w:t>
      </w:r>
    </w:p>
    <w:p>
      <w:pPr>
        <w:pStyle w:val="TextBody"/>
        <w:bidi w:val="0"/>
        <w:spacing w:lineRule="auto" w:line="273" w:before="89" w:after="283"/>
        <w:ind w:left="0" w:right="0" w:firstLine="685"/>
        <w:jc w:val="left"/>
        <w:rPr/>
      </w:pP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RSUs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receive</w:t>
      </w:r>
      <w:r>
        <w:rPr>
          <w:color w:val="000000"/>
        </w:rPr>
        <w:t xml:space="preserve"> </w:t>
      </w:r>
      <w:r>
        <w:rPr>
          <w:rFonts w:ascii="Arial;sans-serif" w:hAnsi="Arial;sans-serif"/>
          <w:b w:val="false"/>
          <w:color w:val="000000"/>
          <w:sz w:val="20"/>
        </w:rPr>
        <w:t>under</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vest</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accordance</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Vesting</w:t>
      </w:r>
      <w:r>
        <w:rPr>
          <w:color w:val="000000"/>
        </w:rPr>
        <w:t xml:space="preserve"> </w:t>
      </w:r>
      <w:r>
        <w:rPr>
          <w:rFonts w:ascii="Arial;sans-serif" w:hAnsi="Arial;sans-serif"/>
          <w:b w:val="false"/>
          <w:color w:val="000000"/>
          <w:sz w:val="20"/>
        </w:rPr>
        <w:t>Schedule”</w:t>
      </w:r>
      <w:r>
        <w:rPr>
          <w:color w:val="000000"/>
        </w:rPr>
        <w:t xml:space="preserve"> </w:t>
      </w:r>
      <w:r>
        <w:rPr>
          <w:rFonts w:ascii="Arial;sans-serif" w:hAnsi="Arial;sans-serif"/>
          <w:b w:val="false"/>
          <w:color w:val="000000"/>
          <w:sz w:val="20"/>
        </w:rPr>
        <w:t>set</w:t>
      </w:r>
      <w:r>
        <w:rPr>
          <w:color w:val="000000"/>
        </w:rPr>
        <w:t xml:space="preserve"> </w:t>
      </w:r>
      <w:r>
        <w:rPr>
          <w:rFonts w:ascii="Arial;sans-serif" w:hAnsi="Arial;sans-serif"/>
          <w:b w:val="false"/>
          <w:color w:val="000000"/>
          <w:sz w:val="20"/>
        </w:rPr>
        <w:t>forth</w:t>
      </w:r>
      <w:r>
        <w:rPr>
          <w:color w:val="000000"/>
        </w:rPr>
        <w:t xml:space="preserve"> </w:t>
      </w:r>
      <w:r>
        <w:rPr>
          <w:rFonts w:ascii="Arial;sans-serif" w:hAnsi="Arial;sans-serif"/>
          <w:b w:val="false"/>
          <w:color w:val="000000"/>
          <w:sz w:val="20"/>
        </w:rPr>
        <w:t>in the Award Document.</w:t>
      </w:r>
    </w:p>
    <w:p>
      <w:pPr>
        <w:pStyle w:val="TextBody"/>
        <w:bidi w:val="0"/>
        <w:spacing w:before="95" w:after="283"/>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Restricted Units</w:t>
      </w:r>
    </w:p>
    <w:p>
      <w:pPr>
        <w:pStyle w:val="TextBody"/>
        <w:bidi w:val="0"/>
        <w:spacing w:before="99" w:after="283"/>
        <w:jc w:val="left"/>
        <w:rPr/>
      </w:pPr>
      <w:r>
        <w:rPr/>
      </w:r>
    </w:p>
    <w:p>
      <w:pPr>
        <w:pStyle w:val="TextBody"/>
        <w:bidi w:val="0"/>
        <w:spacing w:lineRule="auto" w:line="273" w:before="0" w:after="0"/>
        <w:ind w:left="0" w:right="0" w:firstLine="685"/>
        <w:jc w:val="both"/>
        <w:rPr/>
      </w:pP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not</w:t>
      </w:r>
      <w:r>
        <w:rPr>
          <w:color w:val="000000"/>
        </w:rPr>
        <w:t xml:space="preserve"> </w:t>
      </w:r>
      <w:r>
        <w:rPr>
          <w:rFonts w:ascii="Arial;sans-serif" w:hAnsi="Arial;sans-serif"/>
          <w:b w:val="false"/>
          <w:color w:val="000000"/>
          <w:sz w:val="20"/>
        </w:rPr>
        <w:t>sell,</w:t>
      </w:r>
      <w:r>
        <w:rPr>
          <w:color w:val="000000"/>
        </w:rPr>
        <w:t xml:space="preserve"> </w:t>
      </w:r>
      <w:r>
        <w:rPr>
          <w:rFonts w:ascii="Arial;sans-serif" w:hAnsi="Arial;sans-serif"/>
          <w:b w:val="false"/>
          <w:color w:val="000000"/>
          <w:sz w:val="20"/>
        </w:rPr>
        <w:t>transfer,</w:t>
      </w:r>
      <w:r>
        <w:rPr>
          <w:color w:val="000000"/>
        </w:rPr>
        <w:t xml:space="preserve"> </w:t>
      </w:r>
      <w:r>
        <w:rPr>
          <w:rFonts w:ascii="Arial;sans-serif" w:hAnsi="Arial;sans-serif"/>
          <w:b w:val="false"/>
          <w:color w:val="000000"/>
          <w:sz w:val="20"/>
        </w:rPr>
        <w:t>pledge</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otherwise</w:t>
      </w:r>
      <w:r>
        <w:rPr>
          <w:color w:val="000000"/>
        </w:rPr>
        <w:t xml:space="preserve"> </w:t>
      </w:r>
      <w:r>
        <w:rPr>
          <w:rFonts w:ascii="Arial;sans-serif" w:hAnsi="Arial;sans-serif"/>
          <w:b w:val="false"/>
          <w:color w:val="000000"/>
          <w:sz w:val="20"/>
        </w:rPr>
        <w:t>dispose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make</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short</w:t>
      </w:r>
      <w:r>
        <w:rPr>
          <w:color w:val="000000"/>
        </w:rPr>
        <w:t xml:space="preserve"> </w:t>
      </w:r>
      <w:r>
        <w:rPr>
          <w:rFonts w:ascii="Arial;sans-serif" w:hAnsi="Arial;sans-serif"/>
          <w:b w:val="false"/>
          <w:color w:val="000000"/>
          <w:sz w:val="20"/>
        </w:rPr>
        <w:t>sale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grant</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option</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 purchase of or enter into any hedging or similar transaction with the same economic effect as a sale, any RSUs, except as provided in the next paragraph.</w:t>
      </w:r>
    </w:p>
    <w:p>
      <w:pPr>
        <w:pStyle w:val="TextBody"/>
        <w:bidi w:val="0"/>
        <w:spacing w:before="114" w:after="283"/>
        <w:jc w:val="left"/>
        <w:rPr/>
      </w:pPr>
      <w:r>
        <w:rPr/>
      </w:r>
    </w:p>
    <w:p>
      <w:pPr>
        <w:pStyle w:val="TextBody"/>
        <w:bidi w:val="0"/>
        <w:spacing w:lineRule="auto" w:line="273" w:before="0" w:after="0"/>
        <w:ind w:left="0" w:right="0" w:firstLine="685"/>
        <w:jc w:val="both"/>
        <w:rPr/>
      </w:pPr>
      <w:r>
        <w:rPr>
          <w:rFonts w:ascii="Arial;sans-serif" w:hAnsi="Arial;sans-serif"/>
          <w:b w:val="false"/>
          <w:color w:val="000000"/>
          <w:sz w:val="20"/>
        </w:rPr>
        <w:t>Except as otherwise provided in the Plan, RSUs will not be transferable by you other than by will or by the laws of descent and distribution.</w:t>
      </w:r>
      <w:r>
        <w:rPr>
          <w:color w:val="000000"/>
        </w:rPr>
        <w:t xml:space="preserve"> </w:t>
      </w:r>
      <w:r>
        <w:rPr>
          <w:rFonts w:ascii="Arial;sans-serif" w:hAnsi="Arial;sans-serif"/>
          <w:b w:val="false"/>
          <w:color w:val="000000"/>
          <w:sz w:val="20"/>
        </w:rPr>
        <w:t xml:space="preserve">With the consent of the Committee, you may transfer RSUs to: (i) your spouse, children or grandchildren (“Immediate Family Members”), (ii) a trust or trusts for the primary benefit of you and/or any or all of such Immediate Family Members or (iii) a partnership or other entity in which you and/or any or all of such Immediate Family Members or trusts are the only partners or equity participants; </w:t>
      </w:r>
      <w:r>
        <w:rPr>
          <w:rFonts w:ascii="Arial;sans-serif" w:hAnsi="Arial;sans-serif"/>
          <w:b w:val="false"/>
          <w:i/>
          <w:color w:val="000000"/>
          <w:sz w:val="20"/>
        </w:rPr>
        <w:t>provided</w:t>
      </w:r>
      <w:r>
        <w:rPr>
          <w:color w:val="000000"/>
        </w:rPr>
        <w:t xml:space="preserve"> </w:t>
      </w:r>
      <w:r>
        <w:rPr>
          <w:rFonts w:ascii="Arial;sans-serif" w:hAnsi="Arial;sans-serif"/>
          <w:b w:val="false"/>
          <w:color w:val="000000"/>
          <w:sz w:val="20"/>
        </w:rPr>
        <w:t>that a transferee of RSUs must agree in writing on a form prescribed by the Company to be bound by all provisions of this</w:t>
      </w:r>
      <w:r>
        <w:rPr>
          <w:color w:val="000000"/>
        </w:rPr>
        <w:t xml:space="preserve"> </w:t>
      </w:r>
      <w:r>
        <w:rPr>
          <w:rFonts w:ascii="Arial;sans-serif" w:hAnsi="Arial;sans-serif"/>
          <w:b w:val="false"/>
          <w:color w:val="000000"/>
          <w:sz w:val="20"/>
        </w:rPr>
        <w:t>Award Document and subsequent transfers of RSUs will be prohibited except those in accordance with the Plan. Following transfer, RSUs will continue to be subject to the same terms and conditions as were applicable immediately before transfer, and the events of termination of the section below entitled “Termination” will continue to be applied with respect to you.</w:t>
      </w:r>
    </w:p>
    <w:p>
      <w:pPr>
        <w:pStyle w:val="TextBody"/>
        <w:bidi w:val="0"/>
        <w:spacing w:before="77" w:after="283"/>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Termination</w:t>
      </w:r>
    </w:p>
    <w:p>
      <w:pPr>
        <w:pStyle w:val="TextBody"/>
        <w:bidi w:val="0"/>
        <w:spacing w:before="99" w:after="283"/>
        <w:jc w:val="left"/>
        <w:rPr/>
      </w:pPr>
      <w:r>
        <w:rPr/>
      </w:r>
    </w:p>
    <w:p>
      <w:pPr>
        <w:pStyle w:val="TextBody"/>
        <w:bidi w:val="0"/>
        <w:spacing w:lineRule="auto" w:line="273" w:before="0" w:after="0"/>
        <w:ind w:left="0" w:right="0" w:firstLine="685"/>
        <w:jc w:val="left"/>
        <w:rPr/>
      </w:pPr>
      <w:r>
        <w:rPr>
          <w:rFonts w:ascii="Arial;sans-serif" w:hAnsi="Arial;sans-serif"/>
          <w:b w:val="false"/>
          <w:color w:val="000000"/>
          <w:sz w:val="20"/>
        </w:rPr>
        <w:t>If you cease to be an employee of the Company or an</w:t>
      </w:r>
      <w:r>
        <w:rPr>
          <w:color w:val="000000"/>
        </w:rPr>
        <w:t xml:space="preserve"> </w:t>
      </w:r>
      <w:r>
        <w:rPr>
          <w:rFonts w:ascii="Arial;sans-serif" w:hAnsi="Arial;sans-serif"/>
          <w:b w:val="false"/>
          <w:color w:val="000000"/>
          <w:sz w:val="20"/>
        </w:rPr>
        <w:t>Affiliate for any reason other than a termination by virtue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your</w:t>
      </w:r>
      <w:r>
        <w:rPr>
          <w:color w:val="000000"/>
        </w:rPr>
        <w:t xml:space="preserve"> </w:t>
      </w:r>
      <w:r>
        <w:rPr>
          <w:rFonts w:ascii="Arial;sans-serif" w:hAnsi="Arial;sans-serif"/>
          <w:b w:val="false"/>
          <w:color w:val="000000"/>
          <w:sz w:val="20"/>
        </w:rPr>
        <w:t>death, Disability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Full</w:t>
      </w:r>
      <w:r>
        <w:rPr>
          <w:color w:val="000000"/>
        </w:rPr>
        <w:t xml:space="preserve"> </w:t>
      </w:r>
      <w:r>
        <w:rPr>
          <w:rFonts w:ascii="Arial;sans-serif" w:hAnsi="Arial;sans-serif"/>
          <w:b w:val="false"/>
          <w:color w:val="000000"/>
          <w:sz w:val="20"/>
        </w:rPr>
        <w:t>Career</w:t>
      </w:r>
      <w:r>
        <w:rPr>
          <w:color w:val="000000"/>
        </w:rPr>
        <w:t xml:space="preserve"> </w:t>
      </w:r>
      <w:r>
        <w:rPr>
          <w:rFonts w:ascii="Arial;sans-serif" w:hAnsi="Arial;sans-serif"/>
          <w:b w:val="false"/>
          <w:color w:val="000000"/>
          <w:sz w:val="20"/>
        </w:rPr>
        <w:t>Retirement,</w:t>
      </w:r>
      <w:r>
        <w:rPr>
          <w:color w:val="000000"/>
        </w:rPr>
        <w:t xml:space="preserve"> </w:t>
      </w:r>
      <w:r>
        <w:rPr>
          <w:rFonts w:ascii="Arial;sans-serif" w:hAnsi="Arial;sans-serif"/>
          <w:b w:val="false"/>
          <w:color w:val="000000"/>
          <w:sz w:val="20"/>
        </w:rPr>
        <w:t>then</w:t>
      </w:r>
      <w:r>
        <w:rPr>
          <w:color w:val="000000"/>
        </w:rPr>
        <w:t xml:space="preserve"> </w:t>
      </w: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forfeit</w:t>
      </w:r>
      <w:r>
        <w:rPr>
          <w:color w:val="000000"/>
        </w:rPr>
        <w:t xml:space="preserve"> </w:t>
      </w:r>
      <w:r>
        <w:rPr>
          <w:rFonts w:ascii="Arial;sans-serif" w:hAnsi="Arial;sans-serif"/>
          <w:b w:val="false"/>
          <w:color w:val="000000"/>
          <w:sz w:val="20"/>
        </w:rPr>
        <w:t>all</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unvested</w:t>
      </w:r>
      <w:r>
        <w:rPr>
          <w:color w:val="000000"/>
        </w:rPr>
        <w:t xml:space="preserve"> </w:t>
      </w:r>
      <w:r>
        <w:rPr>
          <w:rFonts w:ascii="Arial;sans-serif" w:hAnsi="Arial;sans-serif"/>
          <w:b w:val="false"/>
          <w:color w:val="000000"/>
          <w:sz w:val="20"/>
        </w:rPr>
        <w:t>RSUs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receive under this</w:t>
      </w:r>
      <w:r>
        <w:rPr>
          <w:color w:val="000000"/>
        </w:rPr>
        <w:t xml:space="preserve"> </w:t>
      </w:r>
      <w:r>
        <w:rPr>
          <w:rFonts w:ascii="Arial;sans-serif" w:hAnsi="Arial;sans-serif"/>
          <w:b w:val="false"/>
          <w:color w:val="000000"/>
          <w:sz w:val="20"/>
        </w:rPr>
        <w:t>Award without any consideration and (2) such shares of unvested RSUs covered by this</w:t>
      </w:r>
      <w:r>
        <w:rPr>
          <w:color w:val="000000"/>
        </w:rPr>
        <w:t xml:space="preserve"> </w:t>
      </w:r>
      <w:r>
        <w:rPr>
          <w:rFonts w:ascii="Arial;sans-serif" w:hAnsi="Arial;sans-serif"/>
          <w:b w:val="false"/>
          <w:color w:val="000000"/>
          <w:sz w:val="20"/>
        </w:rPr>
        <w:t>Award will revert to the Plan.</w:t>
      </w:r>
    </w:p>
    <w:p>
      <w:pPr>
        <w:pStyle w:val="TextBody"/>
        <w:bidi w:val="0"/>
        <w:spacing w:before="8" w:after="283"/>
        <w:jc w:val="left"/>
        <w:rPr/>
      </w:pPr>
      <w:r>
        <w:rPr/>
      </w:r>
    </w:p>
    <w:p>
      <w:pPr>
        <w:pStyle w:val="TextBody"/>
        <w:bidi w:val="0"/>
        <w:spacing w:lineRule="auto" w:line="273" w:before="1" w:after="283"/>
        <w:ind w:left="0" w:right="0" w:firstLine="685"/>
        <w:jc w:val="left"/>
        <w:rPr/>
      </w:pPr>
      <w:r>
        <w:rPr>
          <w:rFonts w:ascii="Arial;sans-serif" w:hAnsi="Arial;sans-serif"/>
          <w:b w:val="false"/>
          <w:color w:val="000000"/>
          <w:sz w:val="20"/>
        </w:rPr>
        <w:t>If</w:t>
      </w:r>
      <w:r>
        <w:rPr>
          <w:color w:val="000000"/>
        </w:rPr>
        <w:t xml:space="preserve"> </w:t>
      </w:r>
      <w:r>
        <w:rPr>
          <w:rFonts w:ascii="Arial;sans-serif" w:hAnsi="Arial;sans-serif"/>
          <w:b w:val="false"/>
          <w:color w:val="000000"/>
          <w:sz w:val="20"/>
        </w:rPr>
        <w:t>your</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terminated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virtue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your</w:t>
      </w:r>
      <w:r>
        <w:rPr>
          <w:color w:val="000000"/>
        </w:rPr>
        <w:t xml:space="preserve"> </w:t>
      </w:r>
      <w:r>
        <w:rPr>
          <w:rFonts w:ascii="Arial;sans-serif" w:hAnsi="Arial;sans-serif"/>
          <w:b w:val="false"/>
          <w:color w:val="000000"/>
          <w:sz w:val="20"/>
        </w:rPr>
        <w:t>death or Disability,</w:t>
      </w:r>
      <w:r>
        <w:rPr>
          <w:color w:val="000000"/>
        </w:rPr>
        <w:t xml:space="preserve"> </w:t>
      </w:r>
      <w:r>
        <w:rPr>
          <w:rFonts w:ascii="Arial;sans-serif" w:hAnsi="Arial;sans-serif"/>
          <w:b w:val="false"/>
          <w:color w:val="000000"/>
          <w:sz w:val="20"/>
        </w:rPr>
        <w:t>all</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unvested</w:t>
      </w:r>
      <w:r>
        <w:rPr>
          <w:color w:val="000000"/>
        </w:rPr>
        <w:t xml:space="preserve"> </w:t>
      </w:r>
      <w:r>
        <w:rPr>
          <w:rFonts w:ascii="Arial;sans-serif" w:hAnsi="Arial;sans-serif"/>
          <w:b w:val="false"/>
          <w:color w:val="000000"/>
          <w:sz w:val="20"/>
        </w:rPr>
        <w:t>RSUs</w:t>
      </w:r>
      <w:r>
        <w:rPr>
          <w:color w:val="000000"/>
        </w:rPr>
        <w:t xml:space="preserve"> </w:t>
      </w:r>
      <w:r>
        <w:rPr>
          <w:rFonts w:ascii="Arial;sans-serif" w:hAnsi="Arial;sans-serif"/>
          <w:b w:val="false"/>
          <w:color w:val="000000"/>
          <w:sz w:val="20"/>
        </w:rPr>
        <w:t>that you receive under this Award shall vest and be settled on the date of such termination.</w:t>
      </w:r>
    </w:p>
    <w:p>
      <w:pPr>
        <w:pStyle w:val="TextBody"/>
        <w:bidi w:val="0"/>
        <w:spacing w:before="99" w:after="283"/>
        <w:jc w:val="left"/>
        <w:rPr/>
      </w:pPr>
      <w:r>
        <w:rPr/>
      </w:r>
    </w:p>
    <w:p>
      <w:pPr>
        <w:pStyle w:val="TextBody"/>
        <w:bidi w:val="0"/>
        <w:spacing w:lineRule="auto" w:line="273" w:before="0" w:after="0"/>
        <w:ind w:left="0" w:right="0" w:firstLine="651"/>
        <w:jc w:val="both"/>
        <w:rPr>
          <w:rFonts w:ascii="Arial;sans-serif" w:hAnsi="Arial;sans-serif"/>
          <w:b w:val="false"/>
          <w:color w:val="000000"/>
          <w:sz w:val="20"/>
        </w:rPr>
      </w:pPr>
      <w:r>
        <w:rPr>
          <w:rFonts w:ascii="Arial;sans-serif" w:hAnsi="Arial;sans-serif"/>
          <w:b w:val="false"/>
          <w:color w:val="000000"/>
          <w:sz w:val="20"/>
        </w:rPr>
        <w:t>If your employment with the Company is terminated by virtue of a Full Career Retirement, the units shall continue to vest and be settled as they would have absent an employment termination, subject to your continued compliance with the restrictions set forth in below in “Retirement Restrictions.”</w:t>
      </w:r>
    </w:p>
    <w:p>
      <w:pPr>
        <w:pStyle w:val="TextBody"/>
        <w:bidi w:val="0"/>
        <w:spacing w:before="5" w:after="283"/>
        <w:jc w:val="left"/>
        <w:rPr/>
      </w:pPr>
      <w:r>
        <w:rPr/>
      </w:r>
    </w:p>
    <w:p>
      <w:pPr>
        <w:pStyle w:val="TextBody"/>
        <w:bidi w:val="0"/>
        <w:spacing w:lineRule="auto" w:line="288" w:before="0" w:after="0"/>
        <w:jc w:val="left"/>
        <w:rPr/>
      </w:pP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purposes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 Document:</w:t>
      </w:r>
    </w:p>
    <w:p>
      <w:pPr>
        <w:pStyle w:val="TextBody"/>
        <w:bidi w:val="0"/>
        <w:spacing w:before="69" w:after="283"/>
        <w:jc w:val="left"/>
        <w:rPr/>
      </w:pPr>
      <w:r>
        <w:rPr/>
      </w:r>
    </w:p>
    <w:p>
      <w:pPr>
        <w:pStyle w:val="TextBody"/>
        <w:bidi w:val="0"/>
        <w:spacing w:lineRule="auto" w:line="273" w:before="0" w:after="0"/>
        <w:jc w:val="both"/>
        <w:rPr>
          <w:color w:val="000000"/>
        </w:rPr>
      </w:pPr>
      <w:r>
        <w:rPr>
          <w:color w:val="000000"/>
        </w:rPr>
        <w:t>“</w:t>
      </w:r>
      <w:r>
        <w:rPr>
          <w:rFonts w:ascii="Arial;sans-serif" w:hAnsi="Arial;sans-serif"/>
          <w:b w:val="false"/>
          <w:color w:val="000000"/>
          <w:sz w:val="20"/>
        </w:rPr>
        <w:t>Full Career Retirement” means your termination of employment from the Company and its subsidiaries and/or affiliates, other than for cause, on or after such time that you have become Retirement Eligible.</w:t>
      </w:r>
    </w:p>
    <w:p>
      <w:pPr>
        <w:pStyle w:val="TextBody"/>
        <w:bidi w:val="0"/>
        <w:spacing w:before="9" w:after="283"/>
        <w:jc w:val="left"/>
        <w:rPr/>
      </w:pPr>
      <w:r>
        <w:rPr/>
      </w:r>
    </w:p>
    <w:p>
      <w:pPr>
        <w:pStyle w:val="TextBody"/>
        <w:bidi w:val="0"/>
        <w:spacing w:lineRule="auto" w:line="273" w:before="0" w:after="0"/>
        <w:jc w:val="both"/>
        <w:rPr/>
      </w:pPr>
      <w:r>
        <w:rPr>
          <w:color w:val="000000"/>
        </w:rPr>
        <w:t>“</w:t>
      </w:r>
      <w:r>
        <w:rPr>
          <w:rFonts w:ascii="Arial;sans-serif" w:hAnsi="Arial;sans-serif"/>
          <w:b w:val="false"/>
          <w:color w:val="000000"/>
          <w:sz w:val="20"/>
        </w:rPr>
        <w:t>Retirement Eligible” means that you (i) have attained age 55, (ii) have a minimum of 10 years of service with the Company and its subsidiaries and/or affiliates (such service only to have deemed to have commenced at such time as such subsidiary and/or affiliate became a subsidiary and/or affiliate of the Company, (iii) the numerical sum of your</w:t>
      </w:r>
      <w:r>
        <w:rPr>
          <w:color w:val="000000"/>
        </w:rPr>
        <w:t xml:space="preserve"> </w:t>
      </w:r>
      <w:r>
        <w:rPr>
          <w:rFonts w:ascii="Arial;sans-serif" w:hAnsi="Arial;sans-serif"/>
          <w:b w:val="false"/>
          <w:color w:val="000000"/>
          <w:sz w:val="20"/>
        </w:rPr>
        <w:t>age and years of service (as calculated pursuant to clause (ii) above) is equal to at least 70, (iv) you have</w:t>
      </w:r>
      <w:r>
        <w:rPr>
          <w:color w:val="000000"/>
        </w:rPr>
        <w:t xml:space="preserve"> </w:t>
      </w:r>
      <w:r>
        <w:rPr>
          <w:rFonts w:ascii="Arial;sans-serif" w:hAnsi="Arial;sans-serif"/>
          <w:b w:val="false"/>
          <w:color w:val="000000"/>
          <w:sz w:val="20"/>
        </w:rPr>
        <w:t>given</w:t>
      </w:r>
      <w:r>
        <w:rPr>
          <w:color w:val="000000"/>
        </w:rPr>
        <w:t xml:space="preserve"> </w:t>
      </w:r>
      <w:r>
        <w:rPr>
          <w:rFonts w:ascii="Arial;sans-serif" w:hAnsi="Arial;sans-serif"/>
          <w:b w:val="false"/>
          <w:color w:val="000000"/>
          <w:sz w:val="20"/>
        </w:rPr>
        <w:t>notice,</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form</w:t>
      </w:r>
      <w:r>
        <w:rPr>
          <w:color w:val="000000"/>
        </w:rPr>
        <w:t xml:space="preserve"> </w:t>
      </w:r>
      <w:r>
        <w:rPr>
          <w:rFonts w:ascii="Arial;sans-serif" w:hAnsi="Arial;sans-serif"/>
          <w:b w:val="false"/>
          <w:color w:val="000000"/>
          <w:sz w:val="20"/>
        </w:rPr>
        <w:t>satisfactory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Chief</w:t>
      </w:r>
      <w:r>
        <w:rPr>
          <w:color w:val="000000"/>
        </w:rPr>
        <w:t xml:space="preserve"> </w:t>
      </w:r>
      <w:r>
        <w:rPr>
          <w:rFonts w:ascii="Arial;sans-serif" w:hAnsi="Arial;sans-serif"/>
          <w:b w:val="false"/>
          <w:color w:val="000000"/>
          <w:sz w:val="20"/>
        </w:rPr>
        <w:t>People</w:t>
      </w:r>
      <w:r>
        <w:rPr>
          <w:color w:val="000000"/>
        </w:rPr>
        <w:t xml:space="preserve"> </w:t>
      </w:r>
      <w:r>
        <w:rPr>
          <w:rFonts w:ascii="Arial;sans-serif" w:hAnsi="Arial;sans-serif"/>
          <w:b w:val="false"/>
          <w:color w:val="000000"/>
          <w:sz w:val="20"/>
        </w:rPr>
        <w:t>Officer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if</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are the Chief People Officer, to the Chief Executive Officer) of your</w:t>
      </w:r>
      <w:r>
        <w:rPr>
          <w:color w:val="000000"/>
        </w:rPr>
        <w:t xml:space="preserve"> </w:t>
      </w:r>
      <w:r>
        <w:rPr>
          <w:rFonts w:ascii="Arial;sans-serif" w:hAnsi="Arial;sans-serif"/>
          <w:b w:val="false"/>
          <w:color w:val="000000"/>
          <w:sz w:val="20"/>
        </w:rPr>
        <w:t>intent to retire specifying the exact intended date of retirement to the Company (provided that prior to such notice the Company had not already given you notice that you would be terminated), and remained employed by the Company until the earlier of (a) the one year anniversary of the date of such notice or (b) the date on which you experience a termination of employment due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death</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disability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terminated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without</w:t>
      </w:r>
      <w:r>
        <w:rPr>
          <w:color w:val="000000"/>
        </w:rPr>
        <w:t xml:space="preserve"> </w:t>
      </w:r>
      <w:r>
        <w:rPr>
          <w:rFonts w:ascii="Arial;sans-serif" w:hAnsi="Arial;sans-serif"/>
          <w:b w:val="false"/>
          <w:color w:val="000000"/>
          <w:sz w:val="20"/>
        </w:rPr>
        <w:t>cause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(v)</w:t>
      </w:r>
      <w:r>
        <w:rPr>
          <w:color w:val="000000"/>
        </w:rPr>
        <w:t xml:space="preserve"> </w:t>
      </w:r>
      <w:r>
        <w:rPr>
          <w:rFonts w:ascii="Arial;sans-serif" w:hAnsi="Arial;sans-serif"/>
          <w:b w:val="false"/>
          <w:color w:val="000000"/>
          <w:sz w:val="20"/>
        </w:rPr>
        <w:t>at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give</w:t>
      </w:r>
      <w:r>
        <w:rPr>
          <w:color w:val="000000"/>
        </w:rPr>
        <w:t xml:space="preserve"> </w:t>
      </w:r>
      <w:r>
        <w:rPr>
          <w:rFonts w:ascii="Arial;sans-serif" w:hAnsi="Arial;sans-serif"/>
          <w:b w:val="false"/>
          <w:color w:val="000000"/>
          <w:sz w:val="20"/>
        </w:rPr>
        <w:t>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3" w:before="77" w:after="283"/>
        <w:jc w:val="both"/>
        <w:rPr/>
      </w:pPr>
      <w:r>
        <w:rPr>
          <w:rFonts w:ascii="Arial;sans-serif" w:hAnsi="Arial;sans-serif"/>
          <w:b w:val="false"/>
          <w:color w:val="000000"/>
          <w:sz w:val="20"/>
        </w:rPr>
        <w:t>notice to the Company you also provide the Company with a signed acknowledgement, in a form satisfactory to the Company, reaffirming the covenants set forth below in “Retirement Restrictions”; provided, however, in the case of (b), the employee’s age and years of service shall be calculated as if the employee was employed</w:t>
      </w:r>
      <w:r>
        <w:rPr>
          <w:color w:val="000000"/>
        </w:rPr>
        <w:t xml:space="preserve"> </w:t>
      </w:r>
      <w:r>
        <w:rPr>
          <w:rFonts w:ascii="Arial;sans-serif" w:hAnsi="Arial;sans-serif"/>
          <w:b w:val="false"/>
          <w:color w:val="000000"/>
          <w:sz w:val="20"/>
        </w:rPr>
        <w:t>through the one-year anniversary of the date of such notice.</w:t>
      </w:r>
    </w:p>
    <w:p>
      <w:pPr>
        <w:pStyle w:val="TextBody"/>
        <w:bidi w:val="0"/>
        <w:spacing w:before="5" w:after="283"/>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Retirement Restrictions</w:t>
      </w:r>
    </w:p>
    <w:p>
      <w:pPr>
        <w:pStyle w:val="TextBody"/>
        <w:bidi w:val="0"/>
        <w:spacing w:before="9" w:after="283"/>
        <w:jc w:val="left"/>
        <w:rPr/>
      </w:pPr>
      <w:r>
        <w:rPr/>
      </w:r>
    </w:p>
    <w:p>
      <w:pPr>
        <w:pStyle w:val="TextBody"/>
        <w:bidi w:val="0"/>
        <w:spacing w:lineRule="auto" w:line="273" w:before="0" w:after="0"/>
        <w:ind w:left="0" w:right="0" w:firstLine="816"/>
        <w:jc w:val="left"/>
        <w:rPr/>
      </w:pP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period</w:t>
      </w:r>
      <w:r>
        <w:rPr>
          <w:color w:val="000000"/>
        </w:rPr>
        <w:t xml:space="preserve"> </w:t>
      </w:r>
      <w:r>
        <w:rPr>
          <w:rFonts w:ascii="Arial;sans-serif" w:hAnsi="Arial;sans-serif"/>
          <w:b w:val="false"/>
          <w:color w:val="000000"/>
          <w:sz w:val="20"/>
        </w:rPr>
        <w:t>beginning</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your</w:t>
      </w:r>
      <w:r>
        <w:rPr>
          <w:color w:val="000000"/>
        </w:rPr>
        <w:t xml:space="preserve"> </w:t>
      </w:r>
      <w:r>
        <w:rPr>
          <w:rFonts w:ascii="Arial;sans-serif" w:hAnsi="Arial;sans-serif"/>
          <w:b w:val="false"/>
          <w:color w:val="000000"/>
          <w:sz w:val="20"/>
        </w:rPr>
        <w:t>Full</w:t>
      </w:r>
      <w:r>
        <w:rPr>
          <w:color w:val="000000"/>
        </w:rPr>
        <w:t xml:space="preserve"> </w:t>
      </w:r>
      <w:r>
        <w:rPr>
          <w:rFonts w:ascii="Arial;sans-serif" w:hAnsi="Arial;sans-serif"/>
          <w:b w:val="false"/>
          <w:color w:val="000000"/>
          <w:sz w:val="20"/>
        </w:rPr>
        <w:t>Career</w:t>
      </w:r>
      <w:r>
        <w:rPr>
          <w:color w:val="000000"/>
        </w:rPr>
        <w:t xml:space="preserve"> </w:t>
      </w:r>
      <w:r>
        <w:rPr>
          <w:rFonts w:ascii="Arial;sans-serif" w:hAnsi="Arial;sans-serif"/>
          <w:b w:val="false"/>
          <w:color w:val="000000"/>
          <w:sz w:val="20"/>
        </w:rPr>
        <w:t>Retirement</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ending</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which</w:t>
      </w:r>
      <w:r>
        <w:rPr>
          <w:color w:val="000000"/>
        </w:rPr>
        <w:t xml:space="preserve"> </w:t>
      </w:r>
      <w:r>
        <w:rPr>
          <w:rFonts w:ascii="Arial;sans-serif" w:hAnsi="Arial;sans-serif"/>
          <w:b w:val="false"/>
          <w:color w:val="000000"/>
          <w:sz w:val="20"/>
        </w:rPr>
        <w:t>the restricted unit would have become fully vested absent a termination of employment (the “Restricted Period”), you shall not, directly or indirectly, without the prior written consent of the Company,</w:t>
      </w:r>
    </w:p>
    <w:p>
      <w:pPr>
        <w:pStyle w:val="TextBody"/>
        <w:bidi w:val="0"/>
        <w:spacing w:lineRule="auto" w:line="273" w:before="0" w:after="0"/>
        <w:jc w:val="left"/>
        <w:rPr/>
      </w:pPr>
      <w:r>
        <w:rPr>
          <w:rFonts w:ascii="Arial;sans-serif" w:hAnsi="Arial;sans-serif"/>
          <w:b/>
          <w:color w:val="000000"/>
          <w:sz w:val="20"/>
        </w:rPr>
        <w:t>(1)</w:t>
      </w:r>
      <w:r>
        <w:rPr>
          <w:rFonts w:ascii="Arial;sans-serif" w:hAnsi="Arial;sans-serif"/>
          <w:b w:val="false"/>
          <w:color w:val="000000"/>
          <w:sz w:val="20"/>
        </w:rPr>
        <w:t>render</w:t>
      </w:r>
      <w:r>
        <w:rPr>
          <w:color w:val="000000"/>
        </w:rPr>
        <w:t xml:space="preserve"> </w:t>
      </w:r>
      <w:r>
        <w:rPr>
          <w:rFonts w:ascii="Arial;sans-serif" w:hAnsi="Arial;sans-serif"/>
          <w:b w:val="false"/>
          <w:color w:val="000000"/>
          <w:sz w:val="20"/>
        </w:rPr>
        <w:t>services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an</w:t>
      </w:r>
      <w:r>
        <w:rPr>
          <w:color w:val="000000"/>
        </w:rPr>
        <w:t xml:space="preserve"> </w:t>
      </w:r>
      <w:r>
        <w:rPr>
          <w:rFonts w:ascii="Arial;sans-serif" w:hAnsi="Arial;sans-serif"/>
          <w:b w:val="false"/>
          <w:color w:val="000000"/>
          <w:sz w:val="20"/>
        </w:rPr>
        <w:t>employee,</w:t>
      </w:r>
      <w:r>
        <w:rPr>
          <w:color w:val="000000"/>
        </w:rPr>
        <w:t xml:space="preserve"> </w:t>
      </w:r>
      <w:r>
        <w:rPr>
          <w:rFonts w:ascii="Arial;sans-serif" w:hAnsi="Arial;sans-serif"/>
          <w:b w:val="false"/>
          <w:color w:val="000000"/>
          <w:sz w:val="20"/>
        </w:rPr>
        <w:t>consultant,</w:t>
      </w:r>
      <w:r>
        <w:rPr>
          <w:color w:val="000000"/>
        </w:rPr>
        <w:t xml:space="preserve"> </w:t>
      </w:r>
      <w:r>
        <w:rPr>
          <w:rFonts w:ascii="Arial;sans-serif" w:hAnsi="Arial;sans-serif"/>
          <w:b w:val="false"/>
          <w:color w:val="000000"/>
          <w:sz w:val="20"/>
        </w:rPr>
        <w:t>director,</w:t>
      </w:r>
      <w:r>
        <w:rPr>
          <w:color w:val="000000"/>
        </w:rPr>
        <w:t xml:space="preserve"> </w:t>
      </w:r>
      <w:r>
        <w:rPr>
          <w:rFonts w:ascii="Arial;sans-serif" w:hAnsi="Arial;sans-serif"/>
          <w:b w:val="false"/>
          <w:color w:val="000000"/>
          <w:sz w:val="20"/>
        </w:rPr>
        <w:t>partner</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otherwise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person,</w:t>
      </w:r>
      <w:r>
        <w:rPr>
          <w:color w:val="000000"/>
        </w:rPr>
        <w:t xml:space="preserve"> </w:t>
      </w:r>
      <w:r>
        <w:rPr>
          <w:rFonts w:ascii="Arial;sans-serif" w:hAnsi="Arial;sans-serif"/>
          <w:b w:val="false"/>
          <w:color w:val="000000"/>
          <w:sz w:val="20"/>
        </w:rPr>
        <w:t>entity,</w:t>
      </w:r>
      <w:r>
        <w:rPr>
          <w:color w:val="000000"/>
        </w:rPr>
        <w:t xml:space="preserve"> </w:t>
      </w:r>
      <w:r>
        <w:rPr>
          <w:rFonts w:ascii="Arial;sans-serif" w:hAnsi="Arial;sans-serif"/>
          <w:b w:val="false"/>
          <w:color w:val="000000"/>
          <w:sz w:val="20"/>
        </w:rPr>
        <w:t>division, subsidiary or subgroup whose primary business activity is in competition with the Company’s business, or</w:t>
      </w:r>
    </w:p>
    <w:p>
      <w:pPr>
        <w:pStyle w:val="TextBody"/>
        <w:bidi w:val="0"/>
        <w:spacing w:lineRule="auto" w:line="273" w:before="88" w:after="283"/>
        <w:jc w:val="both"/>
        <w:rPr/>
      </w:pPr>
      <w:r>
        <w:rPr>
          <w:rFonts w:ascii="Arial;sans-serif" w:hAnsi="Arial;sans-serif"/>
          <w:b/>
          <w:color w:val="000000"/>
          <w:sz w:val="20"/>
        </w:rPr>
        <w:t>(2)</w:t>
      </w:r>
      <w:r>
        <w:rPr>
          <w:rFonts w:ascii="Arial;sans-serif" w:hAnsi="Arial;sans-serif"/>
          <w:b w:val="false"/>
          <w:color w:val="000000"/>
          <w:sz w:val="20"/>
        </w:rPr>
        <w:t>assist with the creation of</w:t>
      </w:r>
      <w:r>
        <w:rPr>
          <w:color w:val="000000"/>
        </w:rPr>
        <w:t xml:space="preserve"> </w:t>
      </w:r>
      <w:r>
        <w:rPr>
          <w:rFonts w:ascii="Arial;sans-serif" w:hAnsi="Arial;sans-serif"/>
          <w:b w:val="false"/>
          <w:color w:val="000000"/>
          <w:sz w:val="20"/>
        </w:rPr>
        <w:t>(a) any entity whose primary business activity is in competition with the Company’s business, or (b) any division, subsidiary or subgroup of an entity whose primary business activity is in competition with the Company’s business.</w:t>
      </w:r>
      <w:r>
        <w:rPr>
          <w:color w:val="000000"/>
        </w:rPr>
        <w:t xml:space="preserve"> </w:t>
      </w:r>
      <w:r>
        <w:rPr>
          <w:rFonts w:ascii="Arial;sans-serif" w:hAnsi="Arial;sans-serif"/>
          <w:b w:val="false"/>
          <w:color w:val="000000"/>
          <w:sz w:val="20"/>
        </w:rPr>
        <w:t>Nothing herein shall prohibit you from pursuing employment with any corporation or entity engaged substantially in the discovery or development of pharmaceuticals</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medical</w:t>
      </w:r>
      <w:r>
        <w:rPr>
          <w:color w:val="000000"/>
        </w:rPr>
        <w:t xml:space="preserve"> </w:t>
      </w:r>
      <w:r>
        <w:rPr>
          <w:rFonts w:ascii="Arial;sans-serif" w:hAnsi="Arial;sans-serif"/>
          <w:b w:val="false"/>
          <w:color w:val="000000"/>
          <w:sz w:val="20"/>
        </w:rPr>
        <w:t>devices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long</w:t>
      </w:r>
      <w:r>
        <w:rPr>
          <w:color w:val="000000"/>
        </w:rPr>
        <w:t xml:space="preserve"> </w:t>
      </w:r>
      <w:r>
        <w:rPr>
          <w:rFonts w:ascii="Arial;sans-serif" w:hAnsi="Arial;sans-serif"/>
          <w:b w:val="false"/>
          <w:color w:val="000000"/>
          <w:sz w:val="20"/>
        </w:rPr>
        <w:t>as such company also manufactures, markets and sells such products.</w:t>
      </w:r>
    </w:p>
    <w:p>
      <w:pPr>
        <w:pStyle w:val="TextBody"/>
        <w:bidi w:val="0"/>
        <w:spacing w:before="158" w:after="283"/>
        <w:jc w:val="left"/>
        <w:rPr/>
      </w:pPr>
      <w:r>
        <w:rPr/>
      </w:r>
    </w:p>
    <w:p>
      <w:pPr>
        <w:pStyle w:val="TextBody"/>
        <w:bidi w:val="0"/>
        <w:spacing w:lineRule="auto" w:line="273" w:before="0" w:after="0"/>
        <w:jc w:val="both"/>
        <w:rPr/>
      </w:pPr>
      <w:r>
        <w:rPr>
          <w:rFonts w:ascii="Arial;sans-serif" w:hAnsi="Arial;sans-serif"/>
          <w:b w:val="false"/>
          <w:color w:val="000000"/>
          <w:sz w:val="20"/>
        </w:rPr>
        <w:t>YOU ACKNOWLEDGE AND UNDERSTAND THAT THIS SECTION MAY AFFECT YOUR RIGHT TO ACCEPT EMPLOYMENT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OTHER</w:t>
      </w:r>
      <w:r>
        <w:rPr>
          <w:color w:val="000000"/>
        </w:rPr>
        <w:t xml:space="preserve"> </w:t>
      </w:r>
      <w:r>
        <w:rPr>
          <w:rFonts w:ascii="Arial;sans-serif" w:hAnsi="Arial;sans-serif"/>
          <w:b w:val="false"/>
          <w:color w:val="000000"/>
          <w:sz w:val="20"/>
        </w:rPr>
        <w:t>COMPANIES</w:t>
      </w:r>
      <w:r>
        <w:rPr>
          <w:color w:val="000000"/>
        </w:rPr>
        <w:t xml:space="preserve"> </w:t>
      </w:r>
      <w:r>
        <w:rPr>
          <w:rFonts w:ascii="Arial;sans-serif" w:hAnsi="Arial;sans-serif"/>
          <w:b w:val="false"/>
          <w:color w:val="000000"/>
          <w:sz w:val="20"/>
        </w:rPr>
        <w:t>SUBSEQUENT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THAT THE RESTRICTIONS CONTAINED HEREIN ARE SEPARATE AND APART AND IN ADDITION TO ANY SIMILAR RESTRICTIONS, NON-COMPETE OR OTHERWISE, THAT</w:t>
      </w:r>
      <w:r>
        <w:rPr>
          <w:color w:val="000000"/>
        </w:rPr>
        <w:t xml:space="preserve"> </w:t>
      </w:r>
      <w:r>
        <w:rPr>
          <w:rFonts w:ascii="Arial;sans-serif" w:hAnsi="Arial;sans-serif"/>
          <w:b w:val="false"/>
          <w:color w:val="000000"/>
          <w:sz w:val="20"/>
        </w:rPr>
        <w:t>YOU MAY BE SUBJECT</w:t>
      </w:r>
      <w:r>
        <w:rPr>
          <w:color w:val="000000"/>
        </w:rPr>
        <w:t xml:space="preserve"> </w:t>
      </w:r>
      <w:r>
        <w:rPr>
          <w:rFonts w:ascii="Arial;sans-serif" w:hAnsi="Arial;sans-serif"/>
          <w:b w:val="false"/>
          <w:color w:val="000000"/>
          <w:sz w:val="20"/>
        </w:rPr>
        <w:t>TO PURSUANT ANY OTHER</w:t>
      </w:r>
      <w:r>
        <w:rPr>
          <w:color w:val="000000"/>
        </w:rPr>
        <w:t xml:space="preserve"> </w:t>
      </w:r>
      <w:r>
        <w:rPr>
          <w:rFonts w:ascii="Arial;sans-serif" w:hAnsi="Arial;sans-serif"/>
          <w:b w:val="false"/>
          <w:color w:val="000000"/>
          <w:sz w:val="20"/>
        </w:rPr>
        <w:t>AGREEMENT WITH THE COMPANY OR</w:t>
      </w:r>
      <w:r>
        <w:rPr>
          <w:color w:val="000000"/>
        </w:rPr>
        <w:t xml:space="preserve"> </w:t>
      </w:r>
      <w:r>
        <w:rPr>
          <w:rFonts w:ascii="Arial;sans-serif" w:hAnsi="Arial;sans-serif"/>
          <w:b w:val="false"/>
          <w:color w:val="000000"/>
          <w:sz w:val="20"/>
        </w:rPr>
        <w:t>ANY OF ITS</w:t>
      </w:r>
      <w:r>
        <w:rPr>
          <w:color w:val="000000"/>
        </w:rPr>
        <w:t xml:space="preserve"> </w:t>
      </w:r>
      <w:r>
        <w:rPr>
          <w:rFonts w:ascii="Arial;sans-serif" w:hAnsi="Arial;sans-serif"/>
          <w:b w:val="false"/>
          <w:color w:val="000000"/>
          <w:sz w:val="20"/>
        </w:rPr>
        <w:t>AFFILIATES.</w:t>
      </w:r>
    </w:p>
    <w:p>
      <w:pPr>
        <w:pStyle w:val="TextBody"/>
        <w:bidi w:val="0"/>
        <w:spacing w:before="4" w:after="283"/>
        <w:jc w:val="left"/>
        <w:rPr/>
      </w:pPr>
      <w:r>
        <w:rPr/>
      </w:r>
    </w:p>
    <w:p>
      <w:pPr>
        <w:pStyle w:val="TextBody"/>
        <w:bidi w:val="0"/>
        <w:spacing w:lineRule="auto" w:line="288" w:before="1" w:after="283"/>
        <w:jc w:val="left"/>
        <w:rPr>
          <w:rFonts w:ascii="Arial;sans-serif" w:hAnsi="Arial;sans-serif"/>
          <w:b/>
          <w:color w:val="000000"/>
          <w:sz w:val="20"/>
          <w:u w:val="single"/>
        </w:rPr>
      </w:pPr>
      <w:r>
        <w:rPr>
          <w:rFonts w:ascii="Arial;sans-serif" w:hAnsi="Arial;sans-serif"/>
          <w:b/>
          <w:color w:val="000000"/>
          <w:sz w:val="20"/>
          <w:u w:val="single"/>
        </w:rPr>
        <w:t>Shares</w:t>
      </w:r>
    </w:p>
    <w:p>
      <w:pPr>
        <w:pStyle w:val="TextBody"/>
        <w:bidi w:val="0"/>
        <w:spacing w:before="8" w:after="283"/>
        <w:jc w:val="left"/>
        <w:rPr/>
      </w:pPr>
      <w:r>
        <w:rPr/>
      </w:r>
    </w:p>
    <w:p>
      <w:pPr>
        <w:pStyle w:val="TextBody"/>
        <w:bidi w:val="0"/>
        <w:spacing w:lineRule="auto" w:line="273" w:before="0" w:after="0"/>
        <w:ind w:left="0" w:right="0" w:firstLine="679"/>
        <w:jc w:val="left"/>
        <w:rPr/>
      </w:pPr>
      <w:r>
        <w:rPr>
          <w:rFonts w:ascii="Arial;sans-serif" w:hAnsi="Arial;sans-serif"/>
          <w:b w:val="false"/>
          <w:color w:val="000000"/>
          <w:sz w:val="20"/>
        </w:rPr>
        <w:t>Upon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vesting</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your</w:t>
      </w:r>
      <w:r>
        <w:rPr>
          <w:color w:val="000000"/>
        </w:rPr>
        <w:t xml:space="preserve"> </w:t>
      </w:r>
      <w:r>
        <w:rPr>
          <w:rFonts w:ascii="Arial;sans-serif" w:hAnsi="Arial;sans-serif"/>
          <w:b w:val="false"/>
          <w:color w:val="000000"/>
          <w:sz w:val="20"/>
        </w:rPr>
        <w:t>RSUs,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underlying</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which</w:t>
      </w:r>
      <w:r>
        <w:rPr>
          <w:color w:val="000000"/>
        </w:rPr>
        <w:t xml:space="preserve"> </w:t>
      </w:r>
      <w:r>
        <w:rPr>
          <w:rFonts w:ascii="Arial;sans-serif" w:hAnsi="Arial;sans-serif"/>
          <w:b w:val="false"/>
          <w:color w:val="000000"/>
          <w:sz w:val="20"/>
        </w:rPr>
        <w:t>have</w:t>
      </w:r>
      <w:r>
        <w:rPr>
          <w:color w:val="000000"/>
        </w:rPr>
        <w:t xml:space="preserve"> </w:t>
      </w:r>
      <w:r>
        <w:rPr>
          <w:rFonts w:ascii="Arial;sans-serif" w:hAnsi="Arial;sans-serif"/>
          <w:b w:val="false"/>
          <w:color w:val="000000"/>
          <w:sz w:val="20"/>
        </w:rPr>
        <w:t>vested</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transferred</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transfer agent to your stock account at CRL’s stock plan administrator.</w:t>
      </w:r>
    </w:p>
    <w:p>
      <w:pPr>
        <w:pStyle w:val="TextBody"/>
        <w:bidi w:val="0"/>
        <w:spacing w:lineRule="auto" w:line="288" w:before="221" w:after="283"/>
        <w:jc w:val="left"/>
        <w:rPr/>
      </w:pPr>
      <w:r>
        <w:rPr>
          <w:rFonts w:ascii="Arial;sans-serif" w:hAnsi="Arial;sans-serif"/>
          <w:b/>
          <w:color w:val="000000"/>
          <w:sz w:val="20"/>
          <w:u w:val="single"/>
        </w:rPr>
        <w:t>Withholding</w:t>
      </w:r>
      <w:r>
        <w:rPr>
          <w:color w:val="000000"/>
          <w:u w:val="single"/>
        </w:rPr>
        <w:t xml:space="preserve"> </w:t>
      </w:r>
      <w:r>
        <w:rPr>
          <w:rFonts w:ascii="Arial;sans-serif" w:hAnsi="Arial;sans-serif"/>
          <w:b/>
          <w:color w:val="000000"/>
          <w:sz w:val="20"/>
          <w:u w:val="single"/>
        </w:rPr>
        <w:t>Taxes</w:t>
      </w:r>
    </w:p>
    <w:p>
      <w:pPr>
        <w:pStyle w:val="TextBody"/>
        <w:bidi w:val="0"/>
        <w:spacing w:before="4" w:after="283"/>
        <w:jc w:val="left"/>
        <w:rPr/>
      </w:pPr>
      <w:r>
        <w:rPr/>
      </w:r>
    </w:p>
    <w:p>
      <w:pPr>
        <w:pStyle w:val="TextBody"/>
        <w:bidi w:val="0"/>
        <w:spacing w:lineRule="auto" w:line="273" w:before="11" w:after="283"/>
        <w:ind w:left="0" w:right="0" w:firstLine="685"/>
        <w:jc w:val="left"/>
        <w:rPr/>
      </w:pPr>
      <w:r>
        <w:rPr>
          <w:rFonts w:ascii="Arial;sans-serif" w:hAnsi="Arial;sans-serif"/>
          <w:b w:val="false"/>
          <w:color w:val="000000"/>
          <w:sz w:val="20"/>
        </w:rPr>
        <w:t>No shares will be released to you unless you have made acceptable arrangements to pay any withholding taxes that may be due as a result of the receipt of Shares upon vesting of the RSUs that you receive under this Award. These arrangements may include withholding of Shares that otherwise would be released to you when the RSUs vest or surrendering of RSUs or shares that you already own.</w:t>
      </w:r>
      <w:r>
        <w:rPr>
          <w:color w:val="000000"/>
        </w:rPr>
        <w:t xml:space="preserve"> </w:t>
      </w:r>
      <w:r>
        <w:rPr>
          <w:rFonts w:ascii="Arial;sans-serif" w:hAnsi="Arial;sans-serif"/>
          <w:b w:val="false"/>
          <w:color w:val="000000"/>
          <w:sz w:val="20"/>
        </w:rPr>
        <w:t>The Fair Market Value of RSUs or Shares that are</w:t>
      </w:r>
      <w:r>
        <w:rPr>
          <w:color w:val="000000"/>
        </w:rPr>
        <w:t xml:space="preserve"> </w:t>
      </w:r>
      <w:r>
        <w:rPr>
          <w:rFonts w:ascii="Arial;sans-serif" w:hAnsi="Arial;sans-serif"/>
          <w:b w:val="false"/>
          <w:color w:val="000000"/>
          <w:sz w:val="20"/>
        </w:rPr>
        <w:t>withheld</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surrender,</w:t>
      </w:r>
      <w:r>
        <w:rPr>
          <w:color w:val="000000"/>
        </w:rPr>
        <w:t xml:space="preserve"> </w:t>
      </w:r>
      <w:r>
        <w:rPr>
          <w:rFonts w:ascii="Arial;sans-serif" w:hAnsi="Arial;sans-serif"/>
          <w:b w:val="false"/>
          <w:color w:val="000000"/>
          <w:sz w:val="20"/>
        </w:rPr>
        <w:t>determined</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when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taxes</w:t>
      </w:r>
      <w:r>
        <w:rPr>
          <w:color w:val="000000"/>
        </w:rPr>
        <w:t xml:space="preserve"> </w:t>
      </w:r>
      <w:r>
        <w:rPr>
          <w:rFonts w:ascii="Arial;sans-serif" w:hAnsi="Arial;sans-serif"/>
          <w:b w:val="false"/>
          <w:color w:val="000000"/>
          <w:sz w:val="20"/>
        </w:rPr>
        <w:t>otherwise</w:t>
      </w:r>
      <w:r>
        <w:rPr>
          <w:color w:val="000000"/>
        </w:rPr>
        <w:t xml:space="preserve"> </w:t>
      </w:r>
      <w:r>
        <w:rPr>
          <w:rFonts w:ascii="Arial;sans-serif" w:hAnsi="Arial;sans-serif"/>
          <w:b w:val="false"/>
          <w:color w:val="000000"/>
          <w:sz w:val="20"/>
        </w:rPr>
        <w:t>would</w:t>
      </w:r>
      <w:r>
        <w:rPr>
          <w:color w:val="000000"/>
        </w:rPr>
        <w:t xml:space="preserve"> </w:t>
      </w:r>
      <w:r>
        <w:rPr>
          <w:rFonts w:ascii="Arial;sans-serif" w:hAnsi="Arial;sans-serif"/>
          <w:b w:val="false"/>
          <w:color w:val="000000"/>
          <w:sz w:val="20"/>
        </w:rPr>
        <w:t>have</w:t>
      </w:r>
      <w:r>
        <w:rPr>
          <w:color w:val="000000"/>
        </w:rPr>
        <w:t xml:space="preserve"> </w:t>
      </w:r>
      <w:r>
        <w:rPr>
          <w:rFonts w:ascii="Arial;sans-serif" w:hAnsi="Arial;sans-serif"/>
          <w:b w:val="false"/>
          <w:color w:val="000000"/>
          <w:sz w:val="20"/>
        </w:rPr>
        <w:t>been</w:t>
      </w:r>
      <w:r>
        <w:rPr>
          <w:color w:val="000000"/>
        </w:rPr>
        <w:t xml:space="preserve"> </w:t>
      </w:r>
      <w:r>
        <w:rPr>
          <w:rFonts w:ascii="Arial;sans-serif" w:hAnsi="Arial;sans-serif"/>
          <w:b w:val="false"/>
          <w:color w:val="000000"/>
          <w:sz w:val="20"/>
        </w:rPr>
        <w:t>withheld</w:t>
      </w:r>
      <w:r>
        <w:rPr>
          <w:color w:val="000000"/>
        </w:rPr>
        <w:t xml:space="preserve"> </w:t>
      </w:r>
      <w:r>
        <w:rPr>
          <w:rFonts w:ascii="Arial;sans-serif" w:hAnsi="Arial;sans-serif"/>
          <w:b w:val="false"/>
          <w:color w:val="000000"/>
          <w:sz w:val="20"/>
        </w:rPr>
        <w:t>in cash, will be applied as a credit against the taxes.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Lock-up Period</w:t>
      </w:r>
    </w:p>
    <w:p>
      <w:pPr>
        <w:pStyle w:val="TextBody"/>
        <w:bidi w:val="0"/>
        <w:spacing w:before="1" w:after="283"/>
        <w:jc w:val="left"/>
        <w:rPr/>
      </w:pPr>
      <w:r>
        <w:rPr/>
      </w:r>
    </w:p>
    <w:p>
      <w:pPr>
        <w:pStyle w:val="TextBody"/>
        <w:bidi w:val="0"/>
        <w:spacing w:lineRule="auto" w:line="273" w:before="11" w:after="283"/>
        <w:ind w:left="0" w:right="0" w:firstLine="685"/>
        <w:jc w:val="left"/>
        <w:rPr/>
      </w:pPr>
      <w:r>
        <w:rPr>
          <w:rFonts w:ascii="Arial;sans-serif" w:hAnsi="Arial;sans-serif"/>
          <w:b w:val="false"/>
          <w:color w:val="000000"/>
          <w:sz w:val="20"/>
        </w:rPr>
        <w:t>If requested by the Company, you hereby agree that you will not sell, transfer, pledge, otherwise dispose, make</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short</w:t>
      </w:r>
      <w:r>
        <w:rPr>
          <w:color w:val="000000"/>
        </w:rPr>
        <w:t xml:space="preserve"> </w:t>
      </w:r>
      <w:r>
        <w:rPr>
          <w:rFonts w:ascii="Arial;sans-serif" w:hAnsi="Arial;sans-serif"/>
          <w:b w:val="false"/>
          <w:color w:val="000000"/>
          <w:sz w:val="20"/>
        </w:rPr>
        <w:t>sale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grant</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option</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purchase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enter</w:t>
      </w:r>
      <w:r>
        <w:rPr>
          <w:color w:val="000000"/>
        </w:rPr>
        <w:t xml:space="preserve"> </w:t>
      </w:r>
      <w:r>
        <w:rPr>
          <w:rFonts w:ascii="Arial;sans-serif" w:hAnsi="Arial;sans-serif"/>
          <w:b w:val="false"/>
          <w:color w:val="000000"/>
          <w:sz w:val="20"/>
        </w:rPr>
        <w:t>into</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hedging</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similar</w:t>
      </w:r>
      <w:r>
        <w:rPr>
          <w:color w:val="000000"/>
        </w:rPr>
        <w:t xml:space="preserve"> </w:t>
      </w:r>
      <w:r>
        <w:rPr>
          <w:rFonts w:ascii="Arial;sans-serif" w:hAnsi="Arial;sans-serif"/>
          <w:b w:val="false"/>
          <w:color w:val="000000"/>
          <w:sz w:val="20"/>
        </w:rPr>
        <w:t>transaction</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 same economic effect as a sale, any Shares (or other securities of the Company) held by you (other than those included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registration)</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period</w:t>
      </w:r>
      <w:r>
        <w:rPr>
          <w:color w:val="000000"/>
        </w:rPr>
        <w:t xml:space="preserve"> </w:t>
      </w:r>
      <w:r>
        <w:rPr>
          <w:rFonts w:ascii="Arial;sans-serif" w:hAnsi="Arial;sans-serif"/>
          <w:b w:val="false"/>
          <w:color w:val="000000"/>
          <w:sz w:val="20"/>
        </w:rPr>
        <w:t>specified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representative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underwriters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Common</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(or other securities of the Company) not to exceed 180 days following the effective date of a registration statement of the Company filed under the Securities Act.</w:t>
      </w:r>
    </w:p>
    <w:p>
      <w:pPr>
        <w:pStyle w:val="TextBody"/>
        <w:bidi w:val="0"/>
        <w:spacing w:before="172" w:after="283"/>
        <w:jc w:val="left"/>
        <w:rPr/>
      </w:pPr>
      <w:r>
        <w:rPr/>
      </w:r>
    </w:p>
    <w:p>
      <w:pPr>
        <w:pStyle w:val="TextBody"/>
        <w:bidi w:val="0"/>
        <w:spacing w:lineRule="auto" w:line="273" w:before="1" w:after="283"/>
        <w:ind w:left="0" w:right="0" w:firstLine="785"/>
        <w:jc w:val="left"/>
        <w:rPr/>
      </w:pP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agree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execute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deliver</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other</w:t>
      </w:r>
      <w:r>
        <w:rPr>
          <w:color w:val="000000"/>
        </w:rPr>
        <w:t xml:space="preserve"> </w:t>
      </w:r>
      <w:r>
        <w:rPr>
          <w:rFonts w:ascii="Arial;sans-serif" w:hAnsi="Arial;sans-serif"/>
          <w:b w:val="false"/>
          <w:color w:val="000000"/>
          <w:sz w:val="20"/>
        </w:rPr>
        <w:t>agreements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reasonably</w:t>
      </w:r>
      <w:r>
        <w:rPr>
          <w:color w:val="000000"/>
        </w:rPr>
        <w:t xml:space="preserve"> </w:t>
      </w:r>
      <w:r>
        <w:rPr>
          <w:rFonts w:ascii="Arial;sans-serif" w:hAnsi="Arial;sans-serif"/>
          <w:b w:val="false"/>
          <w:color w:val="000000"/>
          <w:sz w:val="20"/>
        </w:rPr>
        <w:t>requested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 or the underwriter which are consistent with the foregoing or which are necessary to give further effect thereto.</w:t>
      </w:r>
      <w:r>
        <w:rPr>
          <w:color w:val="000000"/>
        </w:rPr>
        <w:t xml:space="preserve"> </w:t>
      </w:r>
      <w:r>
        <w:rPr>
          <w:rFonts w:ascii="Arial;sans-serif" w:hAnsi="Arial;sans-serif"/>
          <w:b w:val="false"/>
          <w:color w:val="000000"/>
          <w:sz w:val="20"/>
        </w:rPr>
        <w:t>In addition, if requested by the Company or the representative of the underwriters of Common Stock (or other securities)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provide,</w:t>
      </w:r>
      <w:r>
        <w:rPr>
          <w:color w:val="000000"/>
        </w:rPr>
        <w:t xml:space="preserve"> </w:t>
      </w:r>
      <w:r>
        <w:rPr>
          <w:rFonts w:ascii="Arial;sans-serif" w:hAnsi="Arial;sans-serif"/>
          <w:b w:val="false"/>
          <w:color w:val="000000"/>
          <w:sz w:val="20"/>
        </w:rPr>
        <w:t>within</w:t>
      </w:r>
      <w:r>
        <w:rPr>
          <w:color w:val="000000"/>
        </w:rPr>
        <w:t xml:space="preserve"> </w:t>
      </w:r>
      <w:r>
        <w:rPr>
          <w:rFonts w:ascii="Arial;sans-serif" w:hAnsi="Arial;sans-serif"/>
          <w:b w:val="false"/>
          <w:color w:val="000000"/>
          <w:sz w:val="20"/>
        </w:rPr>
        <w:t>10</w:t>
      </w:r>
      <w:r>
        <w:rPr>
          <w:color w:val="000000"/>
        </w:rPr>
        <w:t xml:space="preserve"> </w:t>
      </w:r>
      <w:r>
        <w:rPr>
          <w:rFonts w:ascii="Arial;sans-serif" w:hAnsi="Arial;sans-serif"/>
          <w:b w:val="false"/>
          <w:color w:val="000000"/>
          <w:sz w:val="20"/>
        </w:rPr>
        <w:t>days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request,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information</w:t>
      </w:r>
      <w:r>
        <w:rPr>
          <w:color w:val="000000"/>
        </w:rPr>
        <w:t xml:space="preserve"> </w:t>
      </w:r>
      <w:r>
        <w:rPr>
          <w:rFonts w:ascii="Arial;sans-serif" w:hAnsi="Arial;sans-serif"/>
          <w:b w:val="false"/>
          <w:color w:val="000000"/>
          <w:sz w:val="20"/>
        </w:rPr>
        <w:t>required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 or the</w:t>
      </w:r>
    </w:p>
    <w:p>
      <w:pPr>
        <w:pStyle w:val="TextBody"/>
        <w:bidi w:val="0"/>
        <w:spacing w:lineRule="auto" w:line="273" w:before="0" w:after="0"/>
        <w:jc w:val="left"/>
        <w:rPr/>
      </w:pPr>
      <w:r>
        <w:rPr>
          <w:rFonts w:ascii="Arial;sans-serif" w:hAnsi="Arial;sans-serif"/>
          <w:b w:val="false"/>
          <w:color w:val="000000"/>
          <w:sz w:val="20"/>
        </w:rPr>
        <w:t>representative in connection with the completion of any public offering of the Company’s securities pursuant to a registration statement filed under the Securities Act.</w:t>
      </w:r>
      <w:r>
        <w:rPr>
          <w:color w:val="000000"/>
        </w:rPr>
        <w:t xml:space="preserve"> </w:t>
      </w:r>
      <w:r>
        <w:rPr>
          <w:rFonts w:ascii="Arial;sans-serif" w:hAnsi="Arial;sans-serif"/>
          <w:b w:val="false"/>
          <w:color w:val="000000"/>
          <w:sz w:val="20"/>
        </w:rPr>
        <w:t>The obligations described in this section entitled “Lock-Up Period” will not apply to a registration relating solely to employee benefit plans on Form S-3 or Form S-8 or similar forms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promulgated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future,</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registration</w:t>
      </w:r>
      <w:r>
        <w:rPr>
          <w:color w:val="000000"/>
        </w:rPr>
        <w:t xml:space="preserve"> </w:t>
      </w:r>
      <w:r>
        <w:rPr>
          <w:rFonts w:ascii="Arial;sans-serif" w:hAnsi="Arial;sans-serif"/>
          <w:b w:val="false"/>
          <w:color w:val="000000"/>
          <w:sz w:val="20"/>
        </w:rPr>
        <w:t>relating</w:t>
      </w:r>
      <w:r>
        <w:rPr>
          <w:color w:val="000000"/>
        </w:rPr>
        <w:t xml:space="preserve"> </w:t>
      </w:r>
      <w:r>
        <w:rPr>
          <w:rFonts w:ascii="Arial;sans-serif" w:hAnsi="Arial;sans-serif"/>
          <w:b w:val="false"/>
          <w:color w:val="000000"/>
          <w:sz w:val="20"/>
        </w:rPr>
        <w:t>solely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Rule</w:t>
      </w:r>
      <w:r>
        <w:rPr>
          <w:color w:val="000000"/>
        </w:rPr>
        <w:t xml:space="preserve"> </w:t>
      </w:r>
      <w:r>
        <w:rPr>
          <w:rFonts w:ascii="Arial;sans-serif" w:hAnsi="Arial;sans-serif"/>
          <w:b w:val="false"/>
          <w:color w:val="000000"/>
          <w:sz w:val="20"/>
        </w:rPr>
        <w:t>145</w:t>
      </w:r>
      <w:r>
        <w:rPr>
          <w:color w:val="000000"/>
        </w:rPr>
        <w:t xml:space="preserve"> </w:t>
      </w:r>
      <w:r>
        <w:rPr>
          <w:rFonts w:ascii="Arial;sans-serif" w:hAnsi="Arial;sans-serif"/>
          <w:b w:val="false"/>
          <w:color w:val="000000"/>
          <w:sz w:val="20"/>
        </w:rPr>
        <w:t>transaction</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Form</w:t>
      </w:r>
      <w:r>
        <w:rPr>
          <w:color w:val="000000"/>
        </w:rPr>
        <w:t xml:space="preserve"> </w:t>
      </w:r>
      <w:r>
        <w:rPr>
          <w:rFonts w:ascii="Arial;sans-serif" w:hAnsi="Arial;sans-serif"/>
          <w:b w:val="false"/>
          <w:color w:val="000000"/>
          <w:sz w:val="20"/>
        </w:rPr>
        <w:t>S-4 or similar forms that may be promulgated in the future.</w:t>
      </w:r>
      <w:r>
        <w:rPr>
          <w:color w:val="000000"/>
        </w:rPr>
        <w:t xml:space="preserve"> </w:t>
      </w:r>
      <w:r>
        <w:rPr>
          <w:rFonts w:ascii="Arial;sans-serif" w:hAnsi="Arial;sans-serif"/>
          <w:b w:val="false"/>
          <w:color w:val="000000"/>
          <w:sz w:val="20"/>
        </w:rPr>
        <w:t>The Company may impose stop-transfer instructions with respect to the Shares (or other securities) subject to the foregoing restriction until the end of the 180-day period.</w:t>
      </w:r>
    </w:p>
    <w:p>
      <w:pPr>
        <w:pStyle w:val="TextBody"/>
        <w:bidi w:val="0"/>
        <w:spacing w:before="61" w:after="283"/>
        <w:jc w:val="left"/>
        <w:rPr/>
      </w:pPr>
      <w:r>
        <w:rPr/>
      </w:r>
    </w:p>
    <w:p>
      <w:pPr>
        <w:pStyle w:val="TextBody"/>
        <w:bidi w:val="0"/>
        <w:spacing w:lineRule="auto" w:line="288" w:before="1" w:after="283"/>
        <w:jc w:val="left"/>
        <w:rPr>
          <w:rFonts w:ascii="Arial;sans-serif" w:hAnsi="Arial;sans-serif"/>
          <w:b/>
          <w:color w:val="000000"/>
          <w:sz w:val="20"/>
          <w:u w:val="single"/>
        </w:rPr>
      </w:pPr>
      <w:r>
        <w:rPr>
          <w:rFonts w:ascii="Arial;sans-serif" w:hAnsi="Arial;sans-serif"/>
          <w:b/>
          <w:color w:val="000000"/>
          <w:sz w:val="20"/>
          <w:u w:val="single"/>
        </w:rPr>
        <w:t>Recoupment</w:t>
      </w:r>
    </w:p>
    <w:p>
      <w:pPr>
        <w:pStyle w:val="TextBody"/>
        <w:bidi w:val="0"/>
        <w:spacing w:before="188" w:after="283"/>
        <w:jc w:val="left"/>
        <w:rPr/>
      </w:pPr>
      <w:r>
        <w:rPr/>
      </w:r>
    </w:p>
    <w:p>
      <w:pPr>
        <w:pStyle w:val="TextBody"/>
        <w:bidi w:val="0"/>
        <w:spacing w:lineRule="auto" w:line="288" w:before="34" w:after="283"/>
        <w:jc w:val="left"/>
        <w:rPr/>
      </w:pPr>
      <w:r>
        <w:rPr>
          <w:rFonts w:ascii="Arial;sans-serif" w:hAnsi="Arial;sans-serif"/>
          <w:b w:val="false"/>
          <w:color w:val="000000"/>
          <w:sz w:val="20"/>
        </w:rPr>
        <w:t>Shares awarded under this Award Agreement are subject to recoupment in accordance with the Company’s Corporate Governance Guidelines, as may be revised from time to time, and/or any other so-called recoupment, clawback</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similar</w:t>
      </w:r>
      <w:r>
        <w:rPr>
          <w:color w:val="000000"/>
        </w:rPr>
        <w:t xml:space="preserve"> </w:t>
      </w:r>
      <w:r>
        <w:rPr>
          <w:rFonts w:ascii="Arial;sans-serif" w:hAnsi="Arial;sans-serif"/>
          <w:b w:val="false"/>
          <w:color w:val="000000"/>
          <w:sz w:val="20"/>
        </w:rPr>
        <w:t>policy</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approved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Board</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Directors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committee</w:t>
      </w:r>
      <w:r>
        <w:rPr>
          <w:color w:val="000000"/>
        </w:rPr>
        <w:t xml:space="preserve"> </w:t>
      </w:r>
      <w:r>
        <w:rPr>
          <w:rFonts w:ascii="Arial;sans-serif" w:hAnsi="Arial;sans-serif"/>
          <w:b w:val="false"/>
          <w:color w:val="000000"/>
          <w:sz w:val="20"/>
        </w:rPr>
        <w:t>thereof.</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4" w:after="283"/>
        <w:jc w:val="left"/>
        <w:rPr/>
      </w:pPr>
      <w:r>
        <w:rPr>
          <w:rFonts w:ascii="Arial;sans-serif" w:hAnsi="Arial;sans-serif"/>
          <w:b/>
          <w:color w:val="000000"/>
          <w:sz w:val="20"/>
          <w:u w:val="single"/>
        </w:rPr>
        <w:t>Section</w:t>
      </w:r>
      <w:r>
        <w:rPr>
          <w:color w:val="000000"/>
          <w:u w:val="single"/>
        </w:rPr>
        <w:t xml:space="preserve"> </w:t>
      </w:r>
      <w:r>
        <w:rPr>
          <w:rFonts w:ascii="Arial;sans-serif" w:hAnsi="Arial;sans-serif"/>
          <w:b/>
          <w:color w:val="000000"/>
          <w:sz w:val="20"/>
          <w:u w:val="single"/>
        </w:rPr>
        <w:t>409A</w:t>
      </w:r>
      <w:r>
        <w:rPr>
          <w:color w:val="000000"/>
          <w:u w:val="single"/>
        </w:rPr>
        <w:t xml:space="preserve"> </w:t>
      </w:r>
      <w:r>
        <w:rPr>
          <w:rFonts w:ascii="Arial;sans-serif" w:hAnsi="Arial;sans-serif"/>
          <w:b/>
          <w:color w:val="000000"/>
          <w:sz w:val="20"/>
          <w:u w:val="single"/>
        </w:rPr>
        <w:t>of</w:t>
      </w:r>
      <w:r>
        <w:rPr>
          <w:color w:val="000000"/>
          <w:u w:val="single"/>
        </w:rPr>
        <w:t xml:space="preserve"> </w:t>
      </w:r>
      <w:r>
        <w:rPr>
          <w:rFonts w:ascii="Arial;sans-serif" w:hAnsi="Arial;sans-serif"/>
          <w:b/>
          <w:color w:val="000000"/>
          <w:sz w:val="20"/>
          <w:u w:val="single"/>
        </w:rPr>
        <w:t>the Code</w:t>
      </w:r>
    </w:p>
    <w:p>
      <w:pPr>
        <w:pStyle w:val="TextBody"/>
        <w:bidi w:val="0"/>
        <w:spacing w:lineRule="auto" w:line="273" w:before="73" w:after="283"/>
        <w:ind w:left="0" w:right="0" w:firstLine="785"/>
        <w:jc w:val="left"/>
        <w:rPr/>
      </w:pPr>
      <w:r>
        <w:rPr>
          <w:rFonts w:ascii="Arial;sans-serif" w:hAnsi="Arial;sans-serif"/>
          <w:b w:val="false"/>
          <w:color w:val="000000"/>
          <w:sz w:val="20"/>
        </w:rPr>
        <w:t>This Award is intended to exempt and/or comply with Section 409A of the Internal Revenue Code, as amended (the “Code”) and shall be administered, interpreted and construed accordingly.</w:t>
      </w:r>
      <w:r>
        <w:rPr>
          <w:color w:val="000000"/>
        </w:rPr>
        <w:t xml:space="preserve"> </w:t>
      </w:r>
      <w:r>
        <w:rPr>
          <w:rFonts w:ascii="Arial;sans-serif" w:hAnsi="Arial;sans-serif"/>
          <w:b w:val="false"/>
          <w:color w:val="000000"/>
          <w:sz w:val="20"/>
        </w:rPr>
        <w:t>The Company may, in its sole discretion and without your consent, modify or amend the terms of this Award Agreement, impose conditions on the timing and effectiveness of the issuance of the Restricted Stock Units, and/or take any other action it deems necessary to cause this Award Agreement to be exempted from Section 409A (or to comply therewith to the extent the Company determines it is not excepted).</w:t>
      </w:r>
      <w:r>
        <w:rPr>
          <w:color w:val="000000"/>
        </w:rPr>
        <w:t xml:space="preserve"> </w:t>
      </w:r>
      <w:r>
        <w:rPr>
          <w:rFonts w:ascii="Arial;sans-serif" w:hAnsi="Arial;sans-serif"/>
          <w:b w:val="false"/>
          <w:color w:val="000000"/>
          <w:sz w:val="20"/>
        </w:rPr>
        <w:t>Notwithstanding, you recognize and acknowledge that Section 409A may</w:t>
      </w:r>
      <w:r>
        <w:rPr>
          <w:color w:val="000000"/>
        </w:rPr>
        <w:t xml:space="preserve"> </w:t>
      </w:r>
      <w:r>
        <w:rPr>
          <w:rFonts w:ascii="Arial;sans-serif" w:hAnsi="Arial;sans-serif"/>
          <w:b w:val="false"/>
          <w:color w:val="000000"/>
          <w:sz w:val="20"/>
        </w:rPr>
        <w:t>affect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timing</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recognition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payments</w:t>
      </w:r>
      <w:r>
        <w:rPr>
          <w:color w:val="000000"/>
        </w:rPr>
        <w:t xml:space="preserve"> </w:t>
      </w:r>
      <w:r>
        <w:rPr>
          <w:rFonts w:ascii="Arial;sans-serif" w:hAnsi="Arial;sans-serif"/>
          <w:b w:val="false"/>
          <w:color w:val="000000"/>
          <w:sz w:val="20"/>
        </w:rPr>
        <w:t>due</w:t>
      </w:r>
      <w:r>
        <w:rPr>
          <w:color w:val="000000"/>
        </w:rPr>
        <w:t xml:space="preserve"> </w:t>
      </w:r>
      <w:r>
        <w:rPr>
          <w:rFonts w:ascii="Arial;sans-serif" w:hAnsi="Arial;sans-serif"/>
          <w:b w:val="false"/>
          <w:color w:val="000000"/>
          <w:sz w:val="20"/>
        </w:rPr>
        <w:t>hereunder,</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impose</w:t>
      </w:r>
      <w:r>
        <w:rPr>
          <w:color w:val="000000"/>
        </w:rPr>
        <w:t xml:space="preserve"> </w:t>
      </w:r>
      <w:r>
        <w:rPr>
          <w:rFonts w:ascii="Arial;sans-serif" w:hAnsi="Arial;sans-serif"/>
          <w:b w:val="false"/>
          <w:color w:val="000000"/>
          <w:sz w:val="20"/>
        </w:rPr>
        <w:t>upon</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certain</w:t>
      </w:r>
      <w:r>
        <w:rPr>
          <w:color w:val="000000"/>
        </w:rPr>
        <w:t xml:space="preserve"> </w:t>
      </w:r>
      <w:r>
        <w:rPr>
          <w:rFonts w:ascii="Arial;sans-serif" w:hAnsi="Arial;sans-serif"/>
          <w:b w:val="false"/>
          <w:color w:val="000000"/>
          <w:sz w:val="20"/>
        </w:rPr>
        <w:t>taxes</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other charges for which you are and shall remain solely responsible.</w:t>
      </w:r>
      <w:r>
        <w:rPr>
          <w:color w:val="000000"/>
        </w:rPr>
        <w:t xml:space="preserve"> </w:t>
      </w:r>
      <w:r>
        <w:rPr>
          <w:rFonts w:ascii="Arial;sans-serif" w:hAnsi="Arial;sans-serif"/>
          <w:b w:val="false"/>
          <w:color w:val="000000"/>
          <w:sz w:val="20"/>
        </w:rPr>
        <w:t>If the Company considers you to be one of its “specified employees” and you are a U.S. taxpayer, in each case, at the time of your “separation from service” (as such terms are defined in the Code) from the Company, no conversion specified hereunder shall occur prior to the expiration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six-month</w:t>
      </w:r>
      <w:r>
        <w:rPr>
          <w:color w:val="000000"/>
        </w:rPr>
        <w:t xml:space="preserve"> </w:t>
      </w:r>
      <w:r>
        <w:rPr>
          <w:rFonts w:ascii="Arial;sans-serif" w:hAnsi="Arial;sans-serif"/>
          <w:b w:val="false"/>
          <w:color w:val="000000"/>
          <w:sz w:val="20"/>
        </w:rPr>
        <w:t>period</w:t>
      </w:r>
      <w:r>
        <w:rPr>
          <w:color w:val="000000"/>
        </w:rPr>
        <w:t xml:space="preserve"> </w:t>
      </w:r>
      <w:r>
        <w:rPr>
          <w:rFonts w:ascii="Arial;sans-serif" w:hAnsi="Arial;sans-serif"/>
          <w:b w:val="false"/>
          <w:color w:val="000000"/>
          <w:sz w:val="20"/>
        </w:rPr>
        <w:t>measured</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your</w:t>
      </w:r>
      <w:r>
        <w:rPr>
          <w:color w:val="000000"/>
        </w:rPr>
        <w:t xml:space="preserve"> </w:t>
      </w:r>
      <w:r>
        <w:rPr>
          <w:rFonts w:ascii="Arial;sans-serif" w:hAnsi="Arial;sans-serif"/>
          <w:b w:val="false"/>
          <w:color w:val="000000"/>
          <w:sz w:val="20"/>
        </w:rPr>
        <w:t>separation</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service</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 extent required to comply with Section 409A of the Code.</w:t>
      </w:r>
    </w:p>
    <w:p>
      <w:pPr>
        <w:pStyle w:val="TextBody"/>
        <w:bidi w:val="0"/>
        <w:spacing w:lineRule="auto" w:line="288" w:before="217" w:after="283"/>
        <w:jc w:val="left"/>
        <w:rPr/>
      </w:pPr>
      <w:r>
        <w:rPr>
          <w:rFonts w:ascii="Arial;sans-serif" w:hAnsi="Arial;sans-serif"/>
          <w:b/>
          <w:color w:val="000000"/>
          <w:sz w:val="20"/>
          <w:u w:val="single"/>
        </w:rPr>
        <w:t>No</w:t>
      </w:r>
      <w:r>
        <w:rPr>
          <w:color w:val="000000"/>
          <w:u w:val="single"/>
        </w:rPr>
        <w:t xml:space="preserve"> </w:t>
      </w:r>
      <w:r>
        <w:rPr>
          <w:rFonts w:ascii="Arial;sans-serif" w:hAnsi="Arial;sans-serif"/>
          <w:b/>
          <w:color w:val="000000"/>
          <w:sz w:val="20"/>
          <w:u w:val="single"/>
        </w:rPr>
        <w:t>Guarantee</w:t>
      </w:r>
      <w:r>
        <w:rPr>
          <w:color w:val="000000"/>
          <w:u w:val="single"/>
        </w:rPr>
        <w:t xml:space="preserve"> </w:t>
      </w:r>
      <w:r>
        <w:rPr>
          <w:rFonts w:ascii="Arial;sans-serif" w:hAnsi="Arial;sans-serif"/>
          <w:b/>
          <w:color w:val="000000"/>
          <w:sz w:val="20"/>
          <w:u w:val="single"/>
        </w:rPr>
        <w:t>of</w:t>
      </w:r>
      <w:r>
        <w:rPr>
          <w:color w:val="000000"/>
          <w:u w:val="single"/>
        </w:rPr>
        <w:t xml:space="preserve"> </w:t>
      </w:r>
      <w:r>
        <w:rPr>
          <w:rFonts w:ascii="Arial;sans-serif" w:hAnsi="Arial;sans-serif"/>
          <w:b/>
          <w:color w:val="000000"/>
          <w:sz w:val="20"/>
          <w:u w:val="single"/>
        </w:rPr>
        <w:t>Continued Service</w:t>
      </w:r>
    </w:p>
    <w:p>
      <w:pPr>
        <w:pStyle w:val="TextBody"/>
        <w:bidi w:val="0"/>
        <w:spacing w:lineRule="auto" w:line="273" w:before="74" w:after="283"/>
        <w:ind w:left="0" w:right="0" w:firstLine="785"/>
        <w:jc w:val="left"/>
        <w:rPr/>
      </w:pP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ACKNOWLEDGE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AGREE</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EXCEPT</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OTHERWISE</w:t>
      </w:r>
      <w:r>
        <w:rPr>
          <w:color w:val="000000"/>
        </w:rPr>
        <w:t xml:space="preserve"> </w:t>
      </w:r>
      <w:r>
        <w:rPr>
          <w:rFonts w:ascii="Arial;sans-serif" w:hAnsi="Arial;sans-serif"/>
          <w:b w:val="false"/>
          <w:color w:val="000000"/>
          <w:sz w:val="20"/>
        </w:rPr>
        <w:t>PROVIDED</w:t>
      </w:r>
      <w:r>
        <w:rPr>
          <w:color w:val="000000"/>
        </w:rPr>
        <w:t xml:space="preserve"> </w:t>
      </w:r>
      <w:r>
        <w:rPr>
          <w:rFonts w:ascii="Arial;sans-serif" w:hAnsi="Arial;sans-serif"/>
          <w:b w:val="false"/>
          <w:color w:val="000000"/>
          <w:sz w:val="20"/>
        </w:rPr>
        <w:t>HEREIN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VESTING OF SHARES PURSUANT TO THE “VESTING SCHEDULE” HEREOF IS EARNED ONLY BY CONTINUING AS AN EMPLOYEE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AFFILIATES.</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FURTHER</w:t>
      </w:r>
      <w:r>
        <w:rPr>
          <w:color w:val="000000"/>
        </w:rPr>
        <w:t xml:space="preserve"> </w:t>
      </w:r>
      <w:r>
        <w:rPr>
          <w:rFonts w:ascii="Arial;sans-serif" w:hAnsi="Arial;sans-serif"/>
          <w:b w:val="false"/>
          <w:color w:val="000000"/>
          <w:sz w:val="20"/>
        </w:rPr>
        <w:t>ACKNOWLEDGE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AGREE</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THIS AWARD DOCUMENT, THE TRANSACTIONS CONTEMPLATED HEREUNDER</w:t>
      </w:r>
      <w:r>
        <w:rPr>
          <w:color w:val="000000"/>
        </w:rPr>
        <w:t xml:space="preserve"> </w:t>
      </w:r>
      <w:r>
        <w:rPr>
          <w:rFonts w:ascii="Arial;sans-serif" w:hAnsi="Arial;sans-serif"/>
          <w:b w:val="false"/>
          <w:color w:val="000000"/>
          <w:sz w:val="20"/>
        </w:rPr>
        <w:t>AND THE “VESTING SCHEDULE” DO NOT CONSTITUTE AN EXPRESS OR IMPLIED PROMISE OF CONTINUED EMPLOYMENT FOR THE VESTING</w:t>
      </w:r>
      <w:r>
        <w:rPr>
          <w:color w:val="000000"/>
        </w:rPr>
        <w:t xml:space="preserve"> </w:t>
      </w:r>
      <w:r>
        <w:rPr>
          <w:rFonts w:ascii="Arial;sans-serif" w:hAnsi="Arial;sans-serif"/>
          <w:b w:val="false"/>
          <w:color w:val="000000"/>
          <w:sz w:val="20"/>
        </w:rPr>
        <w:t>PERIOD, FOR</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PERIOD OR</w:t>
      </w:r>
      <w:r>
        <w:rPr>
          <w:color w:val="000000"/>
        </w:rPr>
        <w:t xml:space="preserve"> </w:t>
      </w:r>
      <w:r>
        <w:rPr>
          <w:rFonts w:ascii="Arial;sans-serif" w:hAnsi="Arial;sans-serif"/>
          <w:b w:val="false"/>
          <w:color w:val="000000"/>
          <w:sz w:val="20"/>
        </w:rPr>
        <w:t>AT</w:t>
      </w:r>
      <w:r>
        <w:rPr>
          <w:color w:val="000000"/>
        </w:rPr>
        <w:t xml:space="preserve"> </w:t>
      </w:r>
      <w:r>
        <w:rPr>
          <w:rFonts w:ascii="Arial;sans-serif" w:hAnsi="Arial;sans-serif"/>
          <w:b w:val="false"/>
          <w:color w:val="000000"/>
          <w:sz w:val="20"/>
        </w:rPr>
        <w:t>ALL</w:t>
      </w:r>
      <w:r>
        <w:rPr>
          <w:color w:val="000000"/>
        </w:rPr>
        <w:t xml:space="preserve"> </w:t>
      </w:r>
      <w:r>
        <w:rPr>
          <w:rFonts w:ascii="Arial;sans-serif" w:hAnsi="Arial;sans-serif"/>
          <w:b w:val="false"/>
          <w:color w:val="000000"/>
          <w:sz w:val="20"/>
        </w:rPr>
        <w:t>AND WILL</w:t>
      </w:r>
      <w:r>
        <w:rPr>
          <w:color w:val="000000"/>
        </w:rPr>
        <w:t xml:space="preserve"> </w:t>
      </w:r>
      <w:r>
        <w:rPr>
          <w:rFonts w:ascii="Arial;sans-serif" w:hAnsi="Arial;sans-serif"/>
          <w:b w:val="false"/>
          <w:color w:val="000000"/>
          <w:sz w:val="20"/>
        </w:rPr>
        <w:t>NOT</w:t>
      </w:r>
      <w:r>
        <w:rPr>
          <w:color w:val="000000"/>
        </w:rPr>
        <w:t xml:space="preserve"> </w:t>
      </w:r>
      <w:r>
        <w:rPr>
          <w:rFonts w:ascii="Arial;sans-serif" w:hAnsi="Arial;sans-serif"/>
          <w:b w:val="false"/>
          <w:color w:val="000000"/>
          <w:sz w:val="20"/>
        </w:rPr>
        <w:t>INTERFERE IN</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WAY</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YOUR RIGHT OR THE COMPANY’S RIGHT OR ITS</w:t>
      </w:r>
      <w:r>
        <w:rPr>
          <w:color w:val="000000"/>
        </w:rPr>
        <w:t xml:space="preserve"> </w:t>
      </w:r>
      <w:r>
        <w:rPr>
          <w:rFonts w:ascii="Arial;sans-serif" w:hAnsi="Arial;sans-serif"/>
          <w:b w:val="false"/>
          <w:color w:val="000000"/>
          <w:sz w:val="20"/>
        </w:rPr>
        <w:t>AFFILIATE'S RIGHT</w:t>
      </w:r>
      <w:r>
        <w:rPr>
          <w:color w:val="000000"/>
        </w:rPr>
        <w:t xml:space="preserve"> </w:t>
      </w:r>
      <w:r>
        <w:rPr>
          <w:rFonts w:ascii="Arial;sans-serif" w:hAnsi="Arial;sans-serif"/>
          <w:b w:val="false"/>
          <w:color w:val="000000"/>
          <w:sz w:val="20"/>
        </w:rPr>
        <w:t>TO TERMINATE YOUR EMPLOYMENT</w:t>
      </w:r>
      <w:r>
        <w:rPr>
          <w:color w:val="000000"/>
        </w:rPr>
        <w:t xml:space="preserve"> </w:t>
      </w:r>
      <w:r>
        <w:rPr>
          <w:rFonts w:ascii="Arial;sans-serif" w:hAnsi="Arial;sans-serif"/>
          <w:b w:val="false"/>
          <w:color w:val="000000"/>
          <w:sz w:val="20"/>
        </w:rPr>
        <w:t>AT</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TIME, WITH OR WITHOUT CAUSE.</w:t>
      </w:r>
    </w:p>
    <w:p>
      <w:pPr>
        <w:pStyle w:val="TextBody"/>
        <w:bidi w:val="0"/>
        <w:spacing w:before="78" w:after="283"/>
        <w:jc w:val="left"/>
        <w:rPr/>
      </w:pPr>
      <w:r>
        <w:rPr/>
      </w:r>
    </w:p>
    <w:p>
      <w:pPr>
        <w:pStyle w:val="TextBody"/>
        <w:bidi w:val="0"/>
        <w:spacing w:lineRule="auto" w:line="288" w:before="0" w:after="0"/>
        <w:jc w:val="left"/>
        <w:rPr/>
      </w:pPr>
      <w:r>
        <w:rPr>
          <w:rFonts w:ascii="Arial;sans-serif" w:hAnsi="Arial;sans-serif"/>
          <w:b/>
          <w:color w:val="000000"/>
          <w:sz w:val="20"/>
          <w:u w:val="single"/>
        </w:rPr>
        <w:t>Entire</w:t>
      </w:r>
      <w:r>
        <w:rPr>
          <w:color w:val="000000"/>
          <w:u w:val="single"/>
        </w:rPr>
        <w:t xml:space="preserve"> </w:t>
      </w:r>
      <w:r>
        <w:rPr>
          <w:rFonts w:ascii="Arial;sans-serif" w:hAnsi="Arial;sans-serif"/>
          <w:b/>
          <w:color w:val="000000"/>
          <w:sz w:val="20"/>
          <w:u w:val="single"/>
        </w:rPr>
        <w:t>Agreement; Governing</w:t>
      </w:r>
      <w:r>
        <w:rPr>
          <w:color w:val="000000"/>
          <w:u w:val="single"/>
        </w:rPr>
        <w:t xml:space="preserve"> </w:t>
      </w:r>
      <w:r>
        <w:rPr>
          <w:rFonts w:ascii="Arial;sans-serif" w:hAnsi="Arial;sans-serif"/>
          <w:b/>
          <w:color w:val="000000"/>
          <w:sz w:val="20"/>
          <w:u w:val="single"/>
        </w:rPr>
        <w:t>Law</w:t>
      </w:r>
    </w:p>
    <w:p>
      <w:pPr>
        <w:pStyle w:val="TextBody"/>
        <w:bidi w:val="0"/>
        <w:spacing w:lineRule="auto" w:line="273" w:before="74" w:after="283"/>
        <w:ind w:left="0" w:right="0" w:firstLine="785"/>
        <w:jc w:val="left"/>
        <w:rPr/>
      </w:pP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Document</w:t>
      </w:r>
      <w:r>
        <w:rPr>
          <w:color w:val="000000"/>
        </w:rPr>
        <w:t xml:space="preserve"> </w:t>
      </w:r>
      <w:r>
        <w:rPr>
          <w:rFonts w:ascii="Arial;sans-serif" w:hAnsi="Arial;sans-serif"/>
          <w:b w:val="false"/>
          <w:color w:val="000000"/>
          <w:sz w:val="20"/>
        </w:rPr>
        <w:t>constitute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entire</w:t>
      </w:r>
      <w:r>
        <w:rPr>
          <w:color w:val="000000"/>
        </w:rPr>
        <w:t xml:space="preserve"> </w:t>
      </w:r>
      <w:r>
        <w:rPr>
          <w:rFonts w:ascii="Arial;sans-serif" w:hAnsi="Arial;sans-serif"/>
          <w:b w:val="false"/>
          <w:color w:val="000000"/>
          <w:sz w:val="20"/>
        </w:rPr>
        <w:t>agreement</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parties</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respect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subject matter hereof and supersede in their entirety all prior undertakings and agreements of the Company and you with respect to the subject matter hereof.</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 Document may not be modified in a manner that is materially adverse to your interest except by means of a writing signed by the Company and you.</w:t>
      </w:r>
      <w:r>
        <w:rPr>
          <w:color w:val="000000"/>
        </w:rPr>
        <w:t xml:space="preserve"> </w:t>
      </w:r>
      <w:r>
        <w:rPr>
          <w:rFonts w:ascii="Arial;sans-serif" w:hAnsi="Arial;sans-serif"/>
          <w:b w:val="false"/>
          <w:color w:val="000000"/>
          <w:sz w:val="20"/>
        </w:rPr>
        <w:t>This Award Document is governed by the internal substantive laws of but not the choice of law rules of the Commonwealth of Massachusetts.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10.3</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3" w:after="283"/>
        <w:jc w:val="center"/>
        <w:rPr>
          <w:rFonts w:ascii="Arial;sans-serif" w:hAnsi="Arial;sans-serif"/>
          <w:b/>
          <w:color w:val="000000"/>
          <w:sz w:val="24"/>
        </w:rPr>
      </w:pPr>
      <w:r>
        <w:rPr>
          <w:rFonts w:ascii="Arial;sans-serif" w:hAnsi="Arial;sans-serif"/>
          <w:b/>
          <w:color w:val="000000"/>
          <w:sz w:val="24"/>
        </w:rPr>
        <w:t>FORM OF</w:t>
      </w:r>
    </w:p>
    <w:p>
      <w:pPr>
        <w:pStyle w:val="TextBody"/>
        <w:bidi w:val="0"/>
        <w:spacing w:lineRule="auto" w:line="288" w:before="181" w:after="283"/>
        <w:jc w:val="center"/>
        <w:rPr>
          <w:rFonts w:ascii="Arial;sans-serif" w:hAnsi="Arial;sans-serif"/>
          <w:b/>
          <w:color w:val="000000"/>
          <w:sz w:val="24"/>
        </w:rPr>
      </w:pPr>
      <w:r>
        <w:rPr>
          <w:rFonts w:ascii="Arial;sans-serif" w:hAnsi="Arial;sans-serif"/>
          <w:b/>
          <w:color w:val="000000"/>
          <w:sz w:val="24"/>
        </w:rPr>
        <w:t>CHARLES RIVER LABORATORIES INTERNATIONAL, INC.</w:t>
      </w:r>
    </w:p>
    <w:p>
      <w:pPr>
        <w:pStyle w:val="TextBody"/>
        <w:bidi w:val="0"/>
        <w:spacing w:lineRule="auto" w:line="288" w:before="182" w:after="283"/>
        <w:jc w:val="center"/>
        <w:rPr>
          <w:rFonts w:ascii="Arial;sans-serif" w:hAnsi="Arial;sans-serif"/>
          <w:b/>
          <w:color w:val="000000"/>
          <w:sz w:val="24"/>
        </w:rPr>
      </w:pPr>
      <w:r>
        <w:rPr>
          <w:rFonts w:ascii="Arial;sans-serif" w:hAnsi="Arial;sans-serif"/>
          <w:b/>
          <w:color w:val="000000"/>
          <w:sz w:val="24"/>
        </w:rPr>
        <w:t>2026 LONG-TERM INCENTIVE PLAN</w:t>
      </w:r>
    </w:p>
    <w:p>
      <w:pPr>
        <w:pStyle w:val="TextBody"/>
        <w:bidi w:val="0"/>
        <w:spacing w:lineRule="auto" w:line="288" w:before="182" w:after="283"/>
        <w:jc w:val="center"/>
        <w:rPr>
          <w:rFonts w:ascii="Arial;sans-serif" w:hAnsi="Arial;sans-serif"/>
          <w:b/>
          <w:color w:val="000000"/>
          <w:sz w:val="24"/>
        </w:rPr>
      </w:pPr>
      <w:r>
        <w:rPr>
          <w:rFonts w:ascii="Arial;sans-serif" w:hAnsi="Arial;sans-serif"/>
          <w:b/>
          <w:color w:val="000000"/>
          <w:sz w:val="24"/>
        </w:rPr>
        <w:t>PERFORMANCE SHARE UNIT AWARD AGREEMENT (the “Award Agreement”)</w:t>
      </w:r>
    </w:p>
    <w:p>
      <w:pPr>
        <w:pStyle w:val="TextBody"/>
        <w:bidi w:val="0"/>
        <w:spacing w:before="112" w:after="283"/>
        <w:jc w:val="left"/>
        <w:rPr/>
      </w:pPr>
      <w:r>
        <w:rPr/>
      </w:r>
    </w:p>
    <w:p>
      <w:pPr>
        <w:pStyle w:val="TextBody"/>
        <w:bidi w:val="0"/>
        <w:spacing w:lineRule="auto" w:line="288" w:before="1" w:after="283"/>
        <w:ind w:left="0" w:right="0" w:firstLine="720"/>
        <w:jc w:val="left"/>
        <w:rPr/>
      </w:pPr>
      <w:r>
        <w:rPr>
          <w:rFonts w:ascii="Arial;sans-serif" w:hAnsi="Arial;sans-serif"/>
          <w:b w:val="false"/>
          <w:color w:val="000000"/>
          <w:sz w:val="20"/>
        </w:rPr>
        <w:t xml:space="preserve">This Performance Share Unit Award (the “Award”) is granted as of </w:t>
      </w:r>
      <w:r>
        <w:rPr>
          <w:rFonts w:ascii="Arial;sans-serif" w:hAnsi="Arial;sans-serif"/>
          <w:b w:val="false"/>
          <w:color w:val="007F00"/>
          <w:sz w:val="20"/>
        </w:rPr>
        <w:t xml:space="preserve">[Grant Date:Month DD, YYYY] </w:t>
      </w:r>
      <w:r>
        <w:rPr>
          <w:rFonts w:ascii="Arial;sans-serif" w:hAnsi="Arial;sans-serif"/>
          <w:b w:val="false"/>
          <w:color w:val="000000"/>
          <w:sz w:val="20"/>
        </w:rPr>
        <w:t>by Charles River Laboratories International, Inc. (the “Company”) to</w:t>
      </w:r>
      <w:r>
        <w:rPr>
          <w:color w:val="000000"/>
        </w:rPr>
        <w:t xml:space="preserve"> </w:t>
      </w:r>
      <w:r>
        <w:rPr>
          <w:rFonts w:ascii="Arial;sans-serif" w:hAnsi="Arial;sans-serif"/>
          <w:b w:val="false"/>
          <w:color w:val="007F00"/>
          <w:sz w:val="20"/>
        </w:rPr>
        <w:t>[Participant Name:First Name Last Name]</w:t>
      </w:r>
      <w:r>
        <w:rPr>
          <w:color w:val="007F00"/>
        </w:rPr>
        <w:t xml:space="preserve"> </w:t>
      </w:r>
      <w:r>
        <w:rPr>
          <w:rFonts w:ascii="Arial;sans-serif" w:hAnsi="Arial;sans-serif"/>
          <w:b w:val="false"/>
          <w:color w:val="000000"/>
          <w:sz w:val="20"/>
        </w:rPr>
        <w:t>(the “Participant”) on the</w:t>
      </w:r>
      <w:r>
        <w:rPr>
          <w:color w:val="000000"/>
        </w:rPr>
        <w:t xml:space="preserve"> </w:t>
      </w:r>
      <w:r>
        <w:rPr>
          <w:rFonts w:ascii="Arial;sans-serif" w:hAnsi="Arial;sans-serif"/>
          <w:b w:val="false"/>
          <w:color w:val="000000"/>
          <w:sz w:val="20"/>
        </w:rPr>
        <w:t>terms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conditions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set</w:t>
      </w:r>
      <w:r>
        <w:rPr>
          <w:color w:val="000000"/>
        </w:rPr>
        <w:t xml:space="preserve"> </w:t>
      </w:r>
      <w:r>
        <w:rPr>
          <w:rFonts w:ascii="Arial;sans-serif" w:hAnsi="Arial;sans-serif"/>
          <w:b w:val="false"/>
          <w:color w:val="000000"/>
          <w:sz w:val="20"/>
        </w:rPr>
        <w:t>forth</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Agreement</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2026 Long-Term</w:t>
      </w:r>
      <w:r>
        <w:rPr>
          <w:color w:val="000000"/>
        </w:rPr>
        <w:t xml:space="preserve"> </w:t>
      </w:r>
      <w:r>
        <w:rPr>
          <w:rFonts w:ascii="Arial;sans-serif" w:hAnsi="Arial;sans-serif"/>
          <w:b w:val="false"/>
          <w:color w:val="000000"/>
          <w:sz w:val="20"/>
        </w:rPr>
        <w:t>Incentive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amended</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time to time, the “Plan”).</w:t>
      </w:r>
      <w:r>
        <w:rPr>
          <w:color w:val="000000"/>
        </w:rPr>
        <w:t xml:space="preserve"> </w:t>
      </w:r>
      <w:r>
        <w:rPr>
          <w:rFonts w:ascii="Arial;sans-serif" w:hAnsi="Arial;sans-serif"/>
          <w:b w:val="false"/>
          <w:color w:val="000000"/>
          <w:sz w:val="20"/>
        </w:rPr>
        <w:t>All capitalized terms used herein shall have the meaning specified in the Plan, unless another meaning is specified herein.</w:t>
      </w:r>
    </w:p>
    <w:p>
      <w:pPr>
        <w:pStyle w:val="TextBody"/>
        <w:bidi w:val="0"/>
        <w:spacing w:lineRule="auto" w:line="631" w:before="165" w:after="283"/>
        <w:jc w:val="left"/>
        <w:rPr/>
      </w:pP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accordance</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grant,</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condition</w:t>
      </w:r>
      <w:r>
        <w:rPr>
          <w:color w:val="000000"/>
        </w:rPr>
        <w:t xml:space="preserve"> </w:t>
      </w:r>
      <w:r>
        <w:rPr>
          <w:rFonts w:ascii="Arial;sans-serif" w:hAnsi="Arial;sans-serif"/>
          <w:b w:val="false"/>
          <w:color w:val="000000"/>
          <w:sz w:val="20"/>
        </w:rPr>
        <w:t>thereto,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agrees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follows: SECTION 1.    </w:t>
      </w:r>
      <w:r>
        <w:rPr>
          <w:rFonts w:ascii="Arial;sans-serif" w:hAnsi="Arial;sans-serif"/>
          <w:b w:val="false"/>
          <w:i/>
          <w:color w:val="000000"/>
          <w:sz w:val="20"/>
        </w:rPr>
        <w:t>Performance Share Unit Award; Performance Period; Date of Grant.</w:t>
      </w:r>
    </w:p>
    <w:p>
      <w:pPr>
        <w:pStyle w:val="TextBody"/>
        <w:bidi w:val="0"/>
        <w:spacing w:lineRule="auto" w:line="288" w:before="98" w:after="283"/>
        <w:jc w:val="left"/>
        <w:rPr/>
      </w:pPr>
      <w:r>
        <w:rPr>
          <w:rFonts w:ascii="Arial;sans-serif" w:hAnsi="Arial;sans-serif"/>
          <w:b w:val="false"/>
          <w:color w:val="000000"/>
          <w:sz w:val="20"/>
        </w:rPr>
        <w:t>Target Award:</w:t>
      </w:r>
      <w:r>
        <w:rPr>
          <w:color w:val="000000"/>
        </w:rPr>
        <w:t xml:space="preserve"> </w:t>
      </w:r>
      <w:r>
        <w:rPr>
          <w:rFonts w:ascii="Arial;sans-serif" w:hAnsi="Arial;sans-serif"/>
          <w:b w:val="false"/>
          <w:color w:val="007F00"/>
          <w:sz w:val="20"/>
        </w:rPr>
        <w:t>[Granted:Target]</w:t>
      </w:r>
      <w:r>
        <w:rPr>
          <w:color w:val="007F00"/>
        </w:rPr>
        <w:t xml:space="preserve"> </w:t>
      </w:r>
      <w:r>
        <w:rPr>
          <w:rFonts w:ascii="Arial;sans-serif" w:hAnsi="Arial;sans-serif"/>
          <w:b w:val="false"/>
          <w:color w:val="000000"/>
          <w:sz w:val="20"/>
        </w:rPr>
        <w:t>Performance Share Units (the “Target Award”)</w:t>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Performance Period: [Start Date Through End Date] (the “Performance Period”)</w:t>
      </w:r>
    </w:p>
    <w:p>
      <w:pPr>
        <w:pStyle w:val="TextBody"/>
        <w:bidi w:val="0"/>
        <w:spacing w:lineRule="auto" w:line="288" w:before="199" w:after="283"/>
        <w:jc w:val="left"/>
        <w:rPr/>
      </w:pPr>
      <w:r>
        <w:rPr>
          <w:rFonts w:ascii="Arial;sans-serif" w:hAnsi="Arial;sans-serif"/>
          <w:b w:val="false"/>
          <w:color w:val="000000"/>
          <w:sz w:val="20"/>
        </w:rPr>
        <w:t>Date of Grant:</w:t>
      </w:r>
      <w:r>
        <w:rPr>
          <w:color w:val="000000"/>
        </w:rPr>
        <w:t xml:space="preserve"> </w:t>
      </w:r>
      <w:r>
        <w:rPr>
          <w:rFonts w:ascii="Arial;sans-serif" w:hAnsi="Arial;sans-serif"/>
          <w:b w:val="false"/>
          <w:color w:val="007F00"/>
          <w:sz w:val="24"/>
        </w:rPr>
        <w:t>[Grant Date:Month DD, YYYY]</w:t>
      </w:r>
    </w:p>
    <w:p>
      <w:pPr>
        <w:pStyle w:val="TextBody"/>
        <w:bidi w:val="0"/>
        <w:spacing w:lineRule="auto" w:line="288" w:before="228" w:after="283"/>
        <w:ind w:left="0" w:right="0" w:firstLine="720"/>
        <w:jc w:val="left"/>
        <w:rPr/>
      </w:pPr>
      <w:r>
        <w:rPr>
          <w:rFonts w:ascii="Arial;sans-serif" w:hAnsi="Arial;sans-serif"/>
          <w:b w:val="false"/>
          <w:color w:val="000000"/>
          <w:sz w:val="20"/>
        </w:rPr>
        <w:t>SECTION 2.    </w:t>
      </w:r>
      <w:r>
        <w:rPr>
          <w:rFonts w:ascii="Arial;sans-serif" w:hAnsi="Arial;sans-serif"/>
          <w:b w:val="false"/>
          <w:i/>
          <w:color w:val="000000"/>
          <w:sz w:val="20"/>
        </w:rPr>
        <w:t>Nature of Award.</w:t>
      </w:r>
      <w:r>
        <w:rPr>
          <w:color w:val="000000"/>
        </w:rPr>
        <w:t xml:space="preserve"> </w:t>
      </w:r>
      <w:r>
        <w:rPr>
          <w:rFonts w:ascii="Arial;sans-serif" w:hAnsi="Arial;sans-serif"/>
          <w:b w:val="false"/>
          <w:color w:val="000000"/>
          <w:sz w:val="20"/>
        </w:rPr>
        <w:t>The Target Award represents the opportunity to receive a future payment equal</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number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common</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par</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$0.01</w:t>
      </w:r>
      <w:r>
        <w:rPr>
          <w:color w:val="000000"/>
        </w:rPr>
        <w:t xml:space="preserve"> </w:t>
      </w:r>
      <w:r>
        <w:rPr>
          <w:rFonts w:ascii="Arial;sans-serif" w:hAnsi="Arial;sans-serif"/>
          <w:b w:val="false"/>
          <w:color w:val="000000"/>
          <w:sz w:val="20"/>
        </w:rPr>
        <w:t>per</w:t>
      </w:r>
      <w:r>
        <w:rPr>
          <w:color w:val="000000"/>
        </w:rPr>
        <w:t xml:space="preserve"> </w:t>
      </w:r>
      <w:r>
        <w:rPr>
          <w:rFonts w:ascii="Arial;sans-serif" w:hAnsi="Arial;sans-serif"/>
          <w:b w:val="false"/>
          <w:color w:val="000000"/>
          <w:sz w:val="20"/>
        </w:rPr>
        <w:t>share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Performance</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be delivered in the form of unrestricted common stock, as are earned in accordance with Section 3 and Section 4 of this Award Agreement.</w:t>
      </w:r>
    </w:p>
    <w:p>
      <w:pPr>
        <w:pStyle w:val="TextBody"/>
        <w:bidi w:val="0"/>
        <w:spacing w:before="54" w:after="283"/>
        <w:jc w:val="left"/>
        <w:rPr/>
      </w:pPr>
      <w:r>
        <w:rPr/>
      </w:r>
    </w:p>
    <w:p>
      <w:pPr>
        <w:pStyle w:val="TextBody"/>
        <w:bidi w:val="0"/>
        <w:spacing w:lineRule="auto" w:line="288" w:before="1" w:after="283"/>
        <w:ind w:left="0" w:right="0" w:firstLine="720"/>
        <w:jc w:val="left"/>
        <w:rPr/>
      </w:pPr>
      <w:r>
        <w:rPr>
          <w:rFonts w:ascii="Arial;sans-serif" w:hAnsi="Arial;sans-serif"/>
          <w:b w:val="false"/>
          <w:color w:val="000000"/>
          <w:sz w:val="20"/>
        </w:rPr>
        <w:t>SECTION 3.    </w:t>
      </w:r>
      <w:r>
        <w:rPr>
          <w:rFonts w:ascii="Arial;sans-serif" w:hAnsi="Arial;sans-serif"/>
          <w:b w:val="false"/>
          <w:i/>
          <w:color w:val="000000"/>
          <w:sz w:val="20"/>
        </w:rPr>
        <w:t>Determination</w:t>
      </w:r>
      <w:r>
        <w:rPr>
          <w:color w:val="000000"/>
        </w:rPr>
        <w:t xml:space="preserve"> </w:t>
      </w:r>
      <w:r>
        <w:rPr>
          <w:rFonts w:ascii="Arial;sans-serif" w:hAnsi="Arial;sans-serif"/>
          <w:b w:val="false"/>
          <w:i/>
          <w:color w:val="000000"/>
          <w:sz w:val="20"/>
        </w:rPr>
        <w:t>of</w:t>
      </w:r>
      <w:r>
        <w:rPr>
          <w:color w:val="000000"/>
        </w:rPr>
        <w:t xml:space="preserve"> </w:t>
      </w:r>
      <w:r>
        <w:rPr>
          <w:rFonts w:ascii="Arial;sans-serif" w:hAnsi="Arial;sans-serif"/>
          <w:b w:val="false"/>
          <w:i/>
          <w:color w:val="000000"/>
          <w:sz w:val="20"/>
        </w:rPr>
        <w:t>Number</w:t>
      </w:r>
      <w:r>
        <w:rPr>
          <w:color w:val="000000"/>
        </w:rPr>
        <w:t xml:space="preserve"> </w:t>
      </w:r>
      <w:r>
        <w:rPr>
          <w:rFonts w:ascii="Arial;sans-serif" w:hAnsi="Arial;sans-serif"/>
          <w:b w:val="false"/>
          <w:i/>
          <w:color w:val="000000"/>
          <w:sz w:val="20"/>
        </w:rPr>
        <w:t>of</w:t>
      </w:r>
      <w:r>
        <w:rPr>
          <w:color w:val="000000"/>
        </w:rPr>
        <w:t xml:space="preserve"> </w:t>
      </w:r>
      <w:r>
        <w:rPr>
          <w:rFonts w:ascii="Arial;sans-serif" w:hAnsi="Arial;sans-serif"/>
          <w:b w:val="false"/>
          <w:i/>
          <w:color w:val="000000"/>
          <w:sz w:val="20"/>
        </w:rPr>
        <w:t>Shares</w:t>
      </w:r>
      <w:r>
        <w:rPr>
          <w:color w:val="000000"/>
        </w:rPr>
        <w:t xml:space="preserve"> </w:t>
      </w:r>
      <w:r>
        <w:rPr>
          <w:rFonts w:ascii="Arial;sans-serif" w:hAnsi="Arial;sans-serif"/>
          <w:b w:val="false"/>
          <w:i/>
          <w:color w:val="000000"/>
          <w:sz w:val="20"/>
        </w:rPr>
        <w:t>Earned.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number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Performance</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earned</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of the end of the Performance Period, if any, shall be determined as follows (subject to the Participant’s continued employment through [End of Performance Period], except as provided under Section 5):</w:t>
      </w:r>
    </w:p>
    <w:p>
      <w:pPr>
        <w:pStyle w:val="TextBody"/>
        <w:bidi w:val="0"/>
        <w:spacing w:before="53" w:after="283"/>
        <w:jc w:val="left"/>
        <w:rPr/>
      </w:pPr>
      <w:r>
        <w:rPr/>
      </w:r>
    </w:p>
    <w:p>
      <w:pPr>
        <w:pStyle w:val="TextBody"/>
        <w:bidi w:val="0"/>
        <w:spacing w:lineRule="auto" w:line="288" w:before="1" w:after="283"/>
        <w:jc w:val="center"/>
        <w:rPr>
          <w:rFonts w:ascii="Arial;sans-serif" w:hAnsi="Arial;sans-serif"/>
          <w:b/>
          <w:color w:val="000000"/>
          <w:sz w:val="20"/>
        </w:rPr>
      </w:pPr>
      <w:r>
        <w:rPr>
          <w:rFonts w:ascii="Arial;sans-serif" w:hAnsi="Arial;sans-serif"/>
          <w:b/>
          <w:color w:val="000000"/>
          <w:sz w:val="20"/>
        </w:rPr>
        <w:t># of Shares = # Target Award x EPS Payout Percentage x TSR Payout Percentage</w:t>
      </w:r>
    </w:p>
    <w:p>
      <w:pPr>
        <w:pStyle w:val="TextBody"/>
        <w:bidi w:val="0"/>
        <w:spacing w:before="61"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purposes of this Award Agreement:</w:t>
      </w:r>
    </w:p>
    <w:p>
      <w:pPr>
        <w:pStyle w:val="TextBody"/>
        <w:bidi w:val="0"/>
        <w:spacing w:before="61" w:after="283"/>
        <w:jc w:val="left"/>
        <w:rPr/>
      </w:pPr>
      <w:r>
        <w:rPr/>
      </w:r>
    </w:p>
    <w:p>
      <w:pPr>
        <w:pStyle w:val="TextBody"/>
        <w:bidi w:val="0"/>
        <w:spacing w:lineRule="auto" w:line="288" w:before="0" w:after="0"/>
        <w:jc w:val="left"/>
        <w:rPr/>
      </w:pPr>
      <w:r>
        <w:rPr>
          <w:color w:val="000000"/>
        </w:rPr>
        <w:t>“</w:t>
      </w:r>
      <w:r>
        <w:rPr>
          <w:rFonts w:ascii="Arial;sans-serif" w:hAnsi="Arial;sans-serif"/>
          <w:b w:val="false"/>
          <w:color w:val="000000"/>
          <w:sz w:val="20"/>
        </w:rPr>
        <w:t># Target Award” means the number of Performance Share Units comprising the Target Award in Section 1,</w:t>
      </w:r>
    </w:p>
    <w:p>
      <w:pPr>
        <w:pStyle w:val="TextBody"/>
        <w:bidi w:val="0"/>
        <w:spacing w:lineRule="auto" w:line="288" w:before="10" w:after="283"/>
        <w:jc w:val="left"/>
        <w:rPr>
          <w:rFonts w:ascii="Arial;sans-serif" w:hAnsi="Arial;sans-serif"/>
          <w:b w:val="false"/>
          <w:color w:val="000000"/>
          <w:sz w:val="20"/>
        </w:rPr>
      </w:pPr>
      <w:r>
        <w:rPr>
          <w:rFonts w:ascii="Arial;sans-serif" w:hAnsi="Arial;sans-serif"/>
          <w:b w:val="false"/>
          <w:color w:val="000000"/>
          <w:sz w:val="20"/>
        </w:rPr>
        <w:t>above.</w:t>
      </w:r>
    </w:p>
    <w:p>
      <w:pPr>
        <w:pStyle w:val="TextBody"/>
        <w:bidi w:val="0"/>
        <w:spacing w:before="62" w:after="283"/>
        <w:jc w:val="left"/>
        <w:rPr/>
      </w:pPr>
      <w:r>
        <w:rPr/>
      </w:r>
    </w:p>
    <w:p>
      <w:pPr>
        <w:pStyle w:val="TextBody"/>
        <w:bidi w:val="0"/>
        <w:spacing w:lineRule="auto" w:line="288" w:before="0" w:after="0"/>
        <w:jc w:val="left"/>
        <w:rPr/>
      </w:pPr>
      <w:r>
        <w:rPr>
          <w:color w:val="000000"/>
        </w:rPr>
        <w:t>“</w:t>
      </w:r>
      <w:r>
        <w:rPr>
          <w:rFonts w:ascii="Arial;sans-serif" w:hAnsi="Arial;sans-serif"/>
          <w:b w:val="false"/>
          <w:color w:val="000000"/>
          <w:sz w:val="20"/>
        </w:rPr>
        <w:t>EPS Payout Percentage” means the percentage multiplier as determined in the table below:</w:t>
      </w:r>
    </w:p>
    <w:p>
      <w:pPr>
        <w:pStyle w:val="TextBody"/>
        <w:bidi w:val="0"/>
        <w:spacing w:before="9" w:after="283"/>
        <w:jc w:val="left"/>
        <w:rPr/>
      </w:pPr>
      <w:r>
        <w:rPr/>
      </w:r>
    </w:p>
    <w:p>
      <w:pPr>
        <w:pStyle w:val="TextBody"/>
        <w:bidi w:val="0"/>
        <w:spacing w:before="104" w:after="283"/>
        <w:jc w:val="left"/>
        <w:rPr/>
      </w:pPr>
      <w:r>
        <w:rPr/>
      </w:r>
    </w:p>
    <w:p>
      <w:pPr>
        <w:pStyle w:val="TextBody"/>
        <w:bidi w:val="0"/>
        <w:spacing w:lineRule="auto" w:line="288" w:before="104" w:after="283"/>
        <w:jc w:val="left"/>
        <w:rPr>
          <w:color w:val="000000"/>
        </w:rPr>
      </w:pPr>
      <w:r>
        <w:rPr>
          <w:color w:val="000000"/>
        </w:rPr>
        <w:t>        </w:t>
      </w:r>
      <w:r>
        <w:rPr>
          <w:rFonts w:ascii="Arial;sans-serif" w:hAnsi="Arial;sans-serif"/>
          <w:b w:val="false"/>
          <w:color w:val="000000"/>
          <w:sz w:val="20"/>
        </w:rPr>
        <w:t>[EPS Payout Percentage Table with Performance Levels + Calculation Details]</w:t>
      </w:r>
    </w:p>
    <w:p>
      <w:pPr>
        <w:pStyle w:val="TextBody"/>
        <w:bidi w:val="0"/>
        <w:spacing w:lineRule="auto" w:line="288" w:before="104" w:after="283"/>
        <w:jc w:val="left"/>
        <w:rPr>
          <w:color w:val="000000"/>
        </w:rPr>
      </w:pPr>
      <w:r>
        <w:rPr>
          <w:color w:val="000000"/>
        </w:rPr>
        <w:t>        </w:t>
      </w:r>
      <w:r>
        <w:rPr>
          <w:rFonts w:ascii="Arial;sans-serif" w:hAnsi="Arial;sans-serif"/>
          <w:b w:val="false"/>
          <w:color w:val="000000"/>
          <w:sz w:val="20"/>
        </w:rPr>
        <w:t>[Definitions Related to EPS Payout Percentage Table Above]</w:t>
      </w:r>
    </w:p>
    <w:p>
      <w:pPr>
        <w:pStyle w:val="TextBody"/>
        <w:bidi w:val="0"/>
        <w:spacing w:before="104" w:after="283"/>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Arial;sans-serif" w:hAnsi="Arial;sans-serif"/>
          <w:b w:val="false"/>
          <w:color w:val="000000"/>
          <w:sz w:val="20"/>
        </w:rPr>
        <w:t>TSR” means Total Shareholder Return, which is the share price appreciation of any particular company’s publicly</w:t>
      </w:r>
      <w:r>
        <w:rPr>
          <w:color w:val="000000"/>
        </w:rPr>
        <w:t xml:space="preserve"> </w:t>
      </w:r>
      <w:r>
        <w:rPr>
          <w:rFonts w:ascii="Arial;sans-serif" w:hAnsi="Arial;sans-serif"/>
          <w:b w:val="false"/>
          <w:color w:val="000000"/>
          <w:sz w:val="20"/>
        </w:rPr>
        <w:t>traded</w:t>
      </w:r>
      <w:r>
        <w:rPr>
          <w:color w:val="000000"/>
        </w:rPr>
        <w:t xml:space="preserve"> </w:t>
      </w:r>
      <w:r>
        <w:rPr>
          <w:rFonts w:ascii="Arial;sans-serif" w:hAnsi="Arial;sans-serif"/>
          <w:b w:val="false"/>
          <w:color w:val="000000"/>
          <w:sz w:val="20"/>
        </w:rPr>
        <w:t>common</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plus</w:t>
      </w:r>
      <w:r>
        <w:rPr>
          <w:color w:val="000000"/>
        </w:rPr>
        <w:t xml:space="preserve"> </w:t>
      </w:r>
      <w:r>
        <w:rPr>
          <w:rFonts w:ascii="Arial;sans-serif" w:hAnsi="Arial;sans-serif"/>
          <w:b w:val="false"/>
          <w:color w:val="000000"/>
          <w:sz w:val="20"/>
        </w:rPr>
        <w:t>dividends</w:t>
      </w:r>
      <w:r>
        <w:rPr>
          <w:color w:val="000000"/>
        </w:rPr>
        <w:t xml:space="preserve"> </w:t>
      </w:r>
      <w:r>
        <w:rPr>
          <w:rFonts w:ascii="Arial;sans-serif" w:hAnsi="Arial;sans-serif"/>
          <w:b w:val="false"/>
          <w:color w:val="000000"/>
          <w:sz w:val="20"/>
        </w:rPr>
        <w:t>accrued,</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measured</w:t>
      </w:r>
      <w:r>
        <w:rPr>
          <w:color w:val="000000"/>
        </w:rPr>
        <w:t xml:space="preserve"> </w:t>
      </w:r>
      <w:r>
        <w:rPr>
          <w:rFonts w:ascii="Arial;sans-serif" w:hAnsi="Arial;sans-serif"/>
          <w:b w:val="false"/>
          <w:color w:val="000000"/>
          <w:sz w:val="20"/>
        </w:rPr>
        <w:t>during</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Performance</w:t>
      </w:r>
      <w:r>
        <w:rPr>
          <w:color w:val="000000"/>
        </w:rPr>
        <w:t xml:space="preserve"> </w:t>
      </w:r>
      <w:r>
        <w:rPr>
          <w:rFonts w:ascii="Arial;sans-serif" w:hAnsi="Arial;sans-serif"/>
          <w:b w:val="false"/>
          <w:color w:val="000000"/>
          <w:sz w:val="20"/>
        </w:rPr>
        <w:t>Period.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starting</w:t>
      </w:r>
      <w:r>
        <w:rPr>
          <w:color w:val="000000"/>
        </w:rPr>
        <w:t xml:space="preserve"> </w:t>
      </w:r>
      <w:r>
        <w:rPr>
          <w:rFonts w:ascii="Arial;sans-serif" w:hAnsi="Arial;sans-serif"/>
          <w:b w:val="false"/>
          <w:color w:val="000000"/>
          <w:sz w:val="20"/>
        </w:rPr>
        <w:t>and ending</w:t>
      </w:r>
      <w:r>
        <w:rPr>
          <w:color w:val="000000"/>
        </w:rPr>
        <w:t xml:space="preserve"> </w:t>
      </w:r>
      <w:r>
        <w:rPr>
          <w:rFonts w:ascii="Arial;sans-serif" w:hAnsi="Arial;sans-serif"/>
          <w:b w:val="false"/>
          <w:color w:val="000000"/>
          <w:sz w:val="20"/>
        </w:rPr>
        <w:t>points</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calculating</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company’s</w:t>
      </w:r>
      <w:r>
        <w:rPr>
          <w:color w:val="000000"/>
        </w:rPr>
        <w:t xml:space="preserve"> </w:t>
      </w:r>
      <w:r>
        <w:rPr>
          <w:rFonts w:ascii="Arial;sans-serif" w:hAnsi="Arial;sans-serif"/>
          <w:b w:val="false"/>
          <w:color w:val="000000"/>
          <w:sz w:val="20"/>
        </w:rPr>
        <w:t>3-year</w:t>
      </w:r>
      <w:r>
        <w:rPr>
          <w:color w:val="000000"/>
        </w:rPr>
        <w:t xml:space="preserve"> </w:t>
      </w:r>
      <w:r>
        <w:rPr>
          <w:rFonts w:ascii="Arial;sans-serif" w:hAnsi="Arial;sans-serif"/>
          <w:b w:val="false"/>
          <w:color w:val="000000"/>
          <w:sz w:val="20"/>
        </w:rPr>
        <w:t>TSR</w:t>
      </w:r>
      <w:r>
        <w:rPr>
          <w:color w:val="000000"/>
        </w:rPr>
        <w:t xml:space="preserve">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average</w:t>
      </w:r>
      <w:r>
        <w:rPr>
          <w:color w:val="000000"/>
        </w:rPr>
        <w:t xml:space="preserve"> </w:t>
      </w:r>
      <w:r>
        <w:rPr>
          <w:rFonts w:ascii="Arial;sans-serif" w:hAnsi="Arial;sans-serif"/>
          <w:b w:val="false"/>
          <w:color w:val="000000"/>
          <w:sz w:val="20"/>
        </w:rPr>
        <w:t>closing</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price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common</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 twenty (20) trading days prior to the start or end date of the Performance Period, as applicable.</w:t>
      </w:r>
      <w:r>
        <w:rPr>
          <w:color w:val="000000"/>
        </w:rPr>
        <w:t xml:space="preserve"> </w:t>
      </w:r>
      <w:r>
        <w:rPr>
          <w:rFonts w:ascii="Arial;sans-serif" w:hAnsi="Arial;sans-serif"/>
          <w:b w:val="false"/>
          <w:color w:val="000000"/>
          <w:sz w:val="20"/>
        </w:rPr>
        <w:t>For purposes of clarity, any dividends will be accrued as cash, summing all dividends over the Performance Period.</w:t>
      </w:r>
    </w:p>
    <w:p>
      <w:pPr>
        <w:pStyle w:val="TextBody"/>
        <w:bidi w:val="0"/>
        <w:spacing w:before="55" w:after="283"/>
        <w:jc w:val="left"/>
        <w:rPr/>
      </w:pPr>
      <w:r>
        <w:rPr/>
      </w:r>
    </w:p>
    <w:p>
      <w:pPr>
        <w:pStyle w:val="TextBody"/>
        <w:bidi w:val="0"/>
        <w:spacing w:lineRule="auto" w:line="288"/>
        <w:jc w:val="left"/>
        <w:rPr/>
      </w:pPr>
      <w:r>
        <w:rPr>
          <w:rFonts w:ascii="Arial;sans-serif" w:hAnsi="Arial;sans-serif"/>
          <w:b/>
          <w:color w:val="000000"/>
          <w:sz w:val="20"/>
        </w:rPr>
        <w:t>[YYYY]</w:t>
      </w:r>
      <w:r>
        <w:rPr>
          <w:color w:val="000000"/>
        </w:rPr>
        <w:t xml:space="preserve"> </w:t>
      </w:r>
      <w:r>
        <w:rPr>
          <w:rFonts w:ascii="Arial;sans-serif" w:hAnsi="Arial;sans-serif"/>
          <w:b/>
          <w:color w:val="000000"/>
          <w:sz w:val="20"/>
        </w:rPr>
        <w:t>Non-GAAP</w:t>
      </w:r>
      <w:r>
        <w:rPr>
          <w:color w:val="000000"/>
        </w:rPr>
        <w:t xml:space="preserve"> </w:t>
      </w:r>
      <w:r>
        <w:rPr>
          <w:rFonts w:ascii="Arial;sans-serif" w:hAnsi="Arial;sans-serif"/>
          <w:b/>
          <w:color w:val="000000"/>
          <w:sz w:val="20"/>
        </w:rPr>
        <w:t>EPS</w:t>
      </w:r>
      <w:r>
        <w:rPr>
          <w:color w:val="000000"/>
        </w:rPr>
        <w:t xml:space="preserve"> </w:t>
      </w:r>
      <w:r>
        <w:rPr>
          <w:rFonts w:ascii="Arial;sans-serif" w:hAnsi="Arial;sans-serif"/>
          <w:b/>
          <w:color w:val="000000"/>
          <w:sz w:val="20"/>
        </w:rPr>
        <w:t>Target</w:t>
      </w:r>
      <w:r>
        <w:rPr>
          <w:color w:val="000000"/>
        </w:rPr>
        <w:t xml:space="preserve"> </w:t>
      </w:r>
      <w:r>
        <w:rPr>
          <w:rFonts w:ascii="Arial;sans-serif" w:hAnsi="Arial;sans-serif"/>
          <w:b/>
          <w:color w:val="000000"/>
          <w:sz w:val="20"/>
        </w:rPr>
        <w:t>Adjustment</w:t>
      </w:r>
      <w:r>
        <w:rPr>
          <w:color w:val="000000"/>
        </w:rPr>
        <w:t xml:space="preserve"> </w:t>
      </w:r>
      <w:r>
        <w:rPr>
          <w:rFonts w:ascii="Arial;sans-serif" w:hAnsi="Arial;sans-serif"/>
          <w:b/>
          <w:color w:val="000000"/>
          <w:sz w:val="20"/>
        </w:rPr>
        <w:t>Mechanism.</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Non-GAAP</w:t>
      </w:r>
      <w:r>
        <w:rPr>
          <w:color w:val="000000"/>
        </w:rPr>
        <w:t xml:space="preserve"> </w:t>
      </w:r>
      <w:r>
        <w:rPr>
          <w:rFonts w:ascii="Arial;sans-serif" w:hAnsi="Arial;sans-serif"/>
          <w:b w:val="false"/>
          <w:color w:val="000000"/>
          <w:sz w:val="20"/>
        </w:rPr>
        <w:t>EPS</w:t>
      </w:r>
      <w:r>
        <w:rPr>
          <w:color w:val="000000"/>
        </w:rPr>
        <w:t xml:space="preserve"> </w:t>
      </w:r>
      <w:r>
        <w:rPr>
          <w:rFonts w:ascii="Arial;sans-serif" w:hAnsi="Arial;sans-serif"/>
          <w:b w:val="false"/>
          <w:color w:val="000000"/>
          <w:sz w:val="20"/>
        </w:rPr>
        <w:t>Target</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adjusted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 Administrator in good faith to prevent dilution or enlargement of benefits to the Participant, by remaining consistent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original</w:t>
      </w:r>
      <w:r>
        <w:rPr>
          <w:color w:val="000000"/>
        </w:rPr>
        <w:t xml:space="preserve"> </w:t>
      </w:r>
      <w:r>
        <w:rPr>
          <w:rFonts w:ascii="Arial;sans-serif" w:hAnsi="Arial;sans-serif"/>
          <w:b w:val="false"/>
          <w:color w:val="000000"/>
          <w:sz w:val="20"/>
        </w:rPr>
        <w:t>intentions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Administrator</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when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Non-GAAP</w:t>
      </w:r>
      <w:r>
        <w:rPr>
          <w:color w:val="000000"/>
        </w:rPr>
        <w:t xml:space="preserve"> </w:t>
      </w:r>
      <w:r>
        <w:rPr>
          <w:rFonts w:ascii="Arial;sans-serif" w:hAnsi="Arial;sans-serif"/>
          <w:b w:val="false"/>
          <w:color w:val="000000"/>
          <w:sz w:val="20"/>
        </w:rPr>
        <w:t>EPS</w:t>
      </w:r>
      <w:r>
        <w:rPr>
          <w:color w:val="000000"/>
        </w:rPr>
        <w:t xml:space="preserve"> </w:t>
      </w:r>
      <w:r>
        <w:rPr>
          <w:rFonts w:ascii="Arial;sans-serif" w:hAnsi="Arial;sans-serif"/>
          <w:b w:val="false"/>
          <w:color w:val="000000"/>
          <w:sz w:val="20"/>
        </w:rPr>
        <w:t xml:space="preserve">Target was initially established, to reflect, in the sole determination of the Administrator, the impact (but without duplication) of the closing and consummation of any material acquisition or disposition (the “Closing”) that occurs prior to the end of fiscal year [YYYY]. In making any such adjustment, the Administrator shall rely on, among other things, the Company’s financial plan, budget or other planning model, including any analyses or </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10.3</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valuations prepared in connection with or underlying the information contained in such financial plan which accounts for such material acquisition and/or disposition and is approved by the Company’s Board of Directors. Any such adjustment to the Non-GAAP EPS Target shall be determined within 60 days of the applicable Closing and such adjustment shall be promptly disclosed in writing to the participant.</w:t>
      </w:r>
    </w:p>
    <w:p>
      <w:pPr>
        <w:pStyle w:val="TextBody"/>
        <w:bidi w:val="0"/>
        <w:spacing w:before="112" w:after="283"/>
        <w:jc w:val="left"/>
        <w:rPr/>
      </w:pPr>
      <w:r>
        <w:rPr/>
      </w:r>
    </w:p>
    <w:p>
      <w:pPr>
        <w:pStyle w:val="TextBody"/>
        <w:bidi w:val="0"/>
        <w:spacing w:lineRule="auto" w:line="288" w:before="0" w:after="0"/>
        <w:jc w:val="left"/>
        <w:rPr/>
      </w:pPr>
      <w:r>
        <w:rPr>
          <w:color w:val="000000"/>
        </w:rPr>
        <w:t>“</w:t>
      </w:r>
      <w:r>
        <w:rPr>
          <w:rFonts w:ascii="Arial;sans-serif" w:hAnsi="Arial;sans-serif"/>
          <w:b w:val="false"/>
          <w:color w:val="000000"/>
          <w:sz w:val="20"/>
        </w:rPr>
        <w:t>TSR Payout Percentage” means the percentage multiplier as determined in the table below:</w:t>
      </w:r>
    </w:p>
    <w:p>
      <w:pPr>
        <w:pStyle w:val="TextBody"/>
        <w:bidi w:val="0"/>
        <w:spacing w:before="9" w:after="283"/>
        <w:jc w:val="left"/>
        <w:rPr/>
      </w:pPr>
      <w:r>
        <w:rPr/>
      </w:r>
    </w:p>
    <w:p>
      <w:pPr>
        <w:pStyle w:val="TextBody"/>
        <w:bidi w:val="0"/>
        <w:spacing w:lineRule="auto" w:line="288" w:before="54" w:after="283"/>
        <w:jc w:val="left"/>
        <w:rPr>
          <w:color w:val="000000"/>
        </w:rPr>
      </w:pPr>
      <w:r>
        <w:rPr>
          <w:color w:val="000000"/>
        </w:rPr>
        <w:t>            </w:t>
      </w:r>
      <w:r>
        <w:rPr>
          <w:rFonts w:ascii="Arial;sans-serif" w:hAnsi="Arial;sans-serif"/>
          <w:b w:val="false"/>
          <w:color w:val="000000"/>
          <w:sz w:val="20"/>
        </w:rPr>
        <w:t>[TSR Payout Percentage Table + Calculation Details]</w:t>
      </w:r>
    </w:p>
    <w:p>
      <w:pPr>
        <w:pStyle w:val="TextBody"/>
        <w:bidi w:val="0"/>
        <w:spacing w:before="54" w:after="283"/>
        <w:jc w:val="left"/>
        <w:rPr/>
      </w:pPr>
      <w:r>
        <w:rPr/>
      </w:r>
    </w:p>
    <w:p>
      <w:pPr>
        <w:pStyle w:val="TextBody"/>
        <w:bidi w:val="0"/>
        <w:spacing w:lineRule="auto" w:line="288" w:before="0" w:after="0"/>
        <w:ind w:left="0" w:right="0" w:firstLine="720"/>
        <w:jc w:val="left"/>
        <w:rPr/>
      </w:pPr>
      <w:r>
        <w:rPr>
          <w:color w:val="000000"/>
        </w:rPr>
        <w:t>“</w:t>
      </w:r>
      <w:r>
        <w:rPr>
          <w:rFonts w:ascii="Arial;sans-serif" w:hAnsi="Arial;sans-serif"/>
          <w:b w:val="false"/>
          <w:color w:val="000000"/>
          <w:sz w:val="20"/>
        </w:rPr>
        <w:t>Relative</w:t>
      </w:r>
      <w:r>
        <w:rPr>
          <w:color w:val="000000"/>
        </w:rPr>
        <w:t xml:space="preserve"> </w:t>
      </w:r>
      <w:r>
        <w:rPr>
          <w:rFonts w:ascii="Arial;sans-serif" w:hAnsi="Arial;sans-serif"/>
          <w:b w:val="false"/>
          <w:color w:val="000000"/>
          <w:sz w:val="20"/>
        </w:rPr>
        <w:t>3-year</w:t>
      </w:r>
      <w:r>
        <w:rPr>
          <w:color w:val="000000"/>
        </w:rPr>
        <w:t xml:space="preserve"> </w:t>
      </w:r>
      <w:r>
        <w:rPr>
          <w:rFonts w:ascii="Arial;sans-serif" w:hAnsi="Arial;sans-serif"/>
          <w:b w:val="false"/>
          <w:color w:val="000000"/>
          <w:sz w:val="20"/>
        </w:rPr>
        <w:t>TSR</w:t>
      </w:r>
      <w:r>
        <w:rPr>
          <w:color w:val="000000"/>
        </w:rPr>
        <w:t xml:space="preserve"> </w:t>
      </w:r>
      <w:r>
        <w:rPr>
          <w:rFonts w:ascii="Arial;sans-serif" w:hAnsi="Arial;sans-serif"/>
          <w:b w:val="false"/>
          <w:color w:val="000000"/>
          <w:sz w:val="20"/>
        </w:rPr>
        <w:t>Percentile”</w:t>
      </w:r>
      <w:r>
        <w:rPr>
          <w:color w:val="000000"/>
        </w:rPr>
        <w:t xml:space="preserve"> </w:t>
      </w:r>
      <w:r>
        <w:rPr>
          <w:rFonts w:ascii="Arial;sans-serif" w:hAnsi="Arial;sans-serif"/>
          <w:b w:val="false"/>
          <w:color w:val="000000"/>
          <w:sz w:val="20"/>
        </w:rPr>
        <w:t>means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comparative</w:t>
      </w:r>
      <w:r>
        <w:rPr>
          <w:color w:val="000000"/>
        </w:rPr>
        <w:t xml:space="preserve"> </w:t>
      </w:r>
      <w:r>
        <w:rPr>
          <w:rFonts w:ascii="Arial;sans-serif" w:hAnsi="Arial;sans-serif"/>
          <w:b w:val="false"/>
          <w:color w:val="000000"/>
          <w:sz w:val="20"/>
        </w:rPr>
        <w:t>percentile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Company’s</w:t>
      </w:r>
      <w:r>
        <w:rPr>
          <w:color w:val="000000"/>
        </w:rPr>
        <w:t xml:space="preserve"> </w:t>
      </w:r>
      <w:r>
        <w:rPr>
          <w:rFonts w:ascii="Arial;sans-serif" w:hAnsi="Arial;sans-serif"/>
          <w:b w:val="false"/>
          <w:color w:val="000000"/>
          <w:sz w:val="20"/>
        </w:rPr>
        <w:t>3-year</w:t>
      </w:r>
      <w:r>
        <w:rPr>
          <w:color w:val="000000"/>
        </w:rPr>
        <w:t xml:space="preserve"> </w:t>
      </w:r>
      <w:r>
        <w:rPr>
          <w:rFonts w:ascii="Arial;sans-serif" w:hAnsi="Arial;sans-serif"/>
          <w:b w:val="false"/>
          <w:color w:val="000000"/>
          <w:sz w:val="20"/>
        </w:rPr>
        <w:t>TSR</w:t>
      </w:r>
      <w:r>
        <w:rPr>
          <w:color w:val="000000"/>
        </w:rPr>
        <w:t xml:space="preserve"> </w:t>
      </w:r>
      <w:r>
        <w:rPr>
          <w:rFonts w:ascii="Arial;sans-serif" w:hAnsi="Arial;sans-serif"/>
          <w:b w:val="false"/>
          <w:color w:val="000000"/>
          <w:sz w:val="20"/>
        </w:rPr>
        <w:t>as compared to the TSRs for the companies in the Peer Group.</w:t>
      </w:r>
    </w:p>
    <w:p>
      <w:pPr>
        <w:pStyle w:val="TextBody"/>
        <w:bidi w:val="0"/>
        <w:spacing w:before="53" w:after="283"/>
        <w:jc w:val="left"/>
        <w:rPr/>
      </w:pPr>
      <w:r>
        <w:rPr/>
      </w:r>
    </w:p>
    <w:p>
      <w:pPr>
        <w:pStyle w:val="TextBody"/>
        <w:bidi w:val="0"/>
        <w:spacing w:lineRule="auto" w:line="288" w:before="0" w:after="0"/>
        <w:ind w:left="0" w:right="0" w:firstLine="720"/>
        <w:jc w:val="left"/>
        <w:rPr/>
      </w:pPr>
      <w:r>
        <w:rPr>
          <w:color w:val="000000"/>
        </w:rPr>
        <w:t>“</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means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selected</w:t>
      </w:r>
      <w:r>
        <w:rPr>
          <w:color w:val="000000"/>
        </w:rPr>
        <w:t xml:space="preserve"> </w:t>
      </w:r>
      <w:r>
        <w:rPr>
          <w:rFonts w:ascii="Arial;sans-serif" w:hAnsi="Arial;sans-serif"/>
          <w:b w:val="false"/>
          <w:color w:val="000000"/>
          <w:sz w:val="20"/>
        </w:rPr>
        <w:t>companies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determined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Compensation</w:t>
      </w:r>
      <w:r>
        <w:rPr>
          <w:color w:val="000000"/>
        </w:rPr>
        <w:t xml:space="preserve"> </w:t>
      </w:r>
      <w:r>
        <w:rPr>
          <w:rFonts w:ascii="Arial;sans-serif" w:hAnsi="Arial;sans-serif"/>
          <w:b w:val="false"/>
          <w:color w:val="000000"/>
          <w:sz w:val="20"/>
        </w:rPr>
        <w:t>Committee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Board</w:t>
      </w:r>
      <w:r>
        <w:rPr>
          <w:color w:val="000000"/>
        </w:rPr>
        <w:t xml:space="preserve"> </w:t>
      </w:r>
      <w:r>
        <w:rPr>
          <w:rFonts w:ascii="Arial;sans-serif" w:hAnsi="Arial;sans-serif"/>
          <w:b w:val="false"/>
          <w:color w:val="000000"/>
          <w:sz w:val="20"/>
        </w:rPr>
        <w:t>of Directors prior to the award; provided, however, that the Peer Group shall include only those companies that remain on the list, based on continuing to meet the qualifications originally established for companies to be selected for the list, at the end of the Performance Period.</w:t>
      </w:r>
      <w:r>
        <w:rPr>
          <w:color w:val="000000"/>
        </w:rPr>
        <w:t xml:space="preserve"> </w:t>
      </w:r>
      <w:r>
        <w:rPr>
          <w:rFonts w:ascii="Arial;sans-serif" w:hAnsi="Arial;sans-serif"/>
          <w:b w:val="false"/>
          <w:color w:val="000000"/>
          <w:sz w:val="20"/>
        </w:rPr>
        <w:t>By way of clarity, but not intended to address all circumstances:</w:t>
      </w:r>
    </w:p>
    <w:p>
      <w:pPr>
        <w:pStyle w:val="TextBody"/>
        <w:bidi w:val="0"/>
        <w:spacing w:before="97" w:after="283"/>
        <w:jc w:val="left"/>
        <w:rPr/>
      </w:pPr>
      <w:r>
        <w:rPr/>
      </w:r>
    </w:p>
    <w:p>
      <w:pPr>
        <w:pStyle w:val="TextBody"/>
        <w:bidi w:val="0"/>
        <w:spacing w:lineRule="auto" w:line="362" w:before="0" w:after="0"/>
        <w:ind w:left="0" w:right="0" w:hanging="147"/>
        <w:jc w:val="left"/>
        <w:rPr/>
      </w:pPr>
      <w:r>
        <w:rPr>
          <w:rFonts w:ascii="Arial;sans-serif" w:hAnsi="Arial;sans-serif"/>
          <w:b w:val="false"/>
          <w:color w:val="000000"/>
          <w:sz w:val="24"/>
        </w:rPr>
        <w:t>-</w:t>
      </w:r>
      <w:r>
        <w:rPr>
          <w:rFonts w:ascii="Arial;sans-serif" w:hAnsi="Arial;sans-serif"/>
          <w:b w:val="false"/>
          <w:color w:val="000000"/>
          <w:sz w:val="20"/>
        </w:rPr>
        <w:t>If</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member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acquired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another</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acquired</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be removed from the Peer Group for the entire Performance Period.</w:t>
      </w:r>
    </w:p>
    <w:p>
      <w:pPr>
        <w:pStyle w:val="TextBody"/>
        <w:bidi w:val="0"/>
        <w:spacing w:lineRule="auto" w:line="372" w:before="223" w:after="283"/>
        <w:ind w:left="0" w:right="0" w:hanging="147"/>
        <w:jc w:val="left"/>
        <w:rPr/>
      </w:pPr>
      <w:r>
        <w:rPr>
          <w:rFonts w:ascii="Arial;sans-serif" w:hAnsi="Arial;sans-serif"/>
          <w:b w:val="false"/>
          <w:color w:val="000000"/>
          <w:sz w:val="24"/>
        </w:rPr>
        <w:t>-</w:t>
      </w:r>
      <w:r>
        <w:rPr>
          <w:rFonts w:ascii="Arial;sans-serif" w:hAnsi="Arial;sans-serif"/>
          <w:b w:val="false"/>
          <w:color w:val="000000"/>
          <w:sz w:val="20"/>
        </w:rPr>
        <w:t>If</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member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sells,</w:t>
      </w:r>
      <w:r>
        <w:rPr>
          <w:color w:val="000000"/>
        </w:rPr>
        <w:t xml:space="preserve"> </w:t>
      </w:r>
      <w:r>
        <w:rPr>
          <w:rFonts w:ascii="Arial;sans-serif" w:hAnsi="Arial;sans-serif"/>
          <w:b w:val="false"/>
          <w:color w:val="000000"/>
          <w:sz w:val="20"/>
        </w:rPr>
        <w:t>spins-off,</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disposes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portion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business,</w:t>
      </w:r>
      <w:r>
        <w:rPr>
          <w:color w:val="000000"/>
        </w:rPr>
        <w:t xml:space="preserve"> </w:t>
      </w:r>
      <w:r>
        <w:rPr>
          <w:rFonts w:ascii="Arial;sans-serif" w:hAnsi="Arial;sans-serif"/>
          <w:b w:val="false"/>
          <w:color w:val="000000"/>
          <w:sz w:val="20"/>
        </w:rPr>
        <w:t>then</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 company will remain in the Peer Group for the Performance Period unless such disposition(s) results in the disposition of more than 50% of such company’s total assets during the Performance Period.</w:t>
      </w:r>
    </w:p>
    <w:p>
      <w:pPr>
        <w:pStyle w:val="TextBody"/>
        <w:bidi w:val="0"/>
        <w:spacing w:lineRule="auto" w:line="362" w:before="213" w:after="283"/>
        <w:ind w:left="0" w:right="0" w:hanging="147"/>
        <w:jc w:val="left"/>
        <w:rPr/>
      </w:pPr>
      <w:r>
        <w:rPr>
          <w:rFonts w:ascii="Arial;sans-serif" w:hAnsi="Arial;sans-serif"/>
          <w:b w:val="false"/>
          <w:color w:val="000000"/>
          <w:sz w:val="24"/>
        </w:rPr>
        <w:t>-</w:t>
      </w:r>
      <w:r>
        <w:rPr>
          <w:rFonts w:ascii="Arial;sans-serif" w:hAnsi="Arial;sans-serif"/>
          <w:b w:val="false"/>
          <w:color w:val="000000"/>
          <w:sz w:val="20"/>
        </w:rPr>
        <w:t>If</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member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acquires</w:t>
      </w:r>
      <w:r>
        <w:rPr>
          <w:color w:val="000000"/>
        </w:rPr>
        <w:t xml:space="preserve"> </w:t>
      </w:r>
      <w:r>
        <w:rPr>
          <w:rFonts w:ascii="Arial;sans-serif" w:hAnsi="Arial;sans-serif"/>
          <w:b w:val="false"/>
          <w:color w:val="000000"/>
          <w:sz w:val="20"/>
        </w:rPr>
        <w:t>another</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acquiring</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remain</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 Peer Group for the Performance Period.</w:t>
      </w:r>
    </w:p>
    <w:p>
      <w:pPr>
        <w:pStyle w:val="TextBody"/>
        <w:bidi w:val="0"/>
        <w:spacing w:lineRule="auto" w:line="288" w:before="223" w:after="283"/>
        <w:ind w:left="0" w:right="0" w:hanging="146"/>
        <w:jc w:val="left"/>
        <w:rPr/>
      </w:pPr>
      <w:r>
        <w:rPr>
          <w:rFonts w:ascii="Arial;sans-serif" w:hAnsi="Arial;sans-serif"/>
          <w:b w:val="false"/>
          <w:color w:val="000000"/>
          <w:sz w:val="24"/>
        </w:rPr>
        <w:t>-</w:t>
      </w:r>
      <w:r>
        <w:rPr>
          <w:rFonts w:ascii="Arial;sans-serif" w:hAnsi="Arial;sans-serif"/>
          <w:b w:val="false"/>
          <w:color w:val="000000"/>
          <w:sz w:val="20"/>
        </w:rPr>
        <w:t>If a member of the Peer Group is delisted on all major stock exchanges, such delisted company will be removed from the Peer Group for the entire Performance Period.</w:t>
      </w:r>
    </w:p>
    <w:p>
      <w:pPr>
        <w:pStyle w:val="TextBody"/>
        <w:bidi w:val="0"/>
        <w:spacing w:before="223" w:after="283"/>
        <w:jc w:val="left"/>
        <w:rPr/>
      </w:pPr>
      <w:r>
        <w:rPr/>
      </w:r>
    </w:p>
    <w:p>
      <w:pPr>
        <w:pStyle w:val="TextBody"/>
        <w:bidi w:val="0"/>
        <w:spacing w:lineRule="auto" w:line="372" w:before="1" w:after="283"/>
        <w:ind w:left="0" w:right="0" w:hanging="147"/>
        <w:jc w:val="left"/>
        <w:rPr/>
      </w:pPr>
      <w:r>
        <w:rPr>
          <w:rFonts w:ascii="Arial;sans-serif" w:hAnsi="Arial;sans-serif"/>
          <w:b w:val="false"/>
          <w:color w:val="000000"/>
          <w:sz w:val="24"/>
        </w:rPr>
        <w:t>-</w:t>
      </w:r>
      <w:r>
        <w:rPr>
          <w:rFonts w:ascii="Arial;sans-serif" w:hAnsi="Arial;sans-serif"/>
          <w:b w:val="false"/>
          <w:color w:val="000000"/>
          <w:sz w:val="20"/>
        </w:rPr>
        <w:t>If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and/or</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member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split</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declare</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distribution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such company’s TSR performance will be adjusted for the stock split or share distribution so as not to give an advantage or disadvantage to such company by comparison to the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10.3</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13" w:after="283"/>
        <w:ind w:left="0" w:right="0" w:hanging="147"/>
        <w:jc w:val="left"/>
        <w:rPr/>
      </w:pPr>
      <w:r>
        <w:rPr>
          <w:rFonts w:ascii="Arial;sans-serif" w:hAnsi="Arial;sans-serif"/>
          <w:b w:val="false"/>
          <w:color w:val="000000"/>
          <w:sz w:val="24"/>
        </w:rPr>
        <w:t>-</w:t>
      </w:r>
      <w:r>
        <w:rPr>
          <w:rFonts w:ascii="Arial;sans-serif" w:hAnsi="Arial;sans-serif"/>
          <w:b w:val="false"/>
          <w:color w:val="000000"/>
          <w:sz w:val="20"/>
        </w:rPr>
        <w:t>Members of the Peer Group that file for bankruptcy, liquidation or reorganization during the Performance Period will</w:t>
      </w:r>
      <w:r>
        <w:rPr>
          <w:color w:val="000000"/>
        </w:rPr>
        <w:t xml:space="preserve"> </w:t>
      </w:r>
      <w:r>
        <w:rPr>
          <w:rFonts w:ascii="Arial;sans-serif" w:hAnsi="Arial;sans-serif"/>
          <w:b w:val="false"/>
          <w:color w:val="000000"/>
          <w:sz w:val="20"/>
        </w:rPr>
        <w:t>remain</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positioned</w:t>
      </w:r>
      <w:r>
        <w:rPr>
          <w:color w:val="000000"/>
        </w:rPr>
        <w:t xml:space="preserve"> </w:t>
      </w:r>
      <w:r>
        <w:rPr>
          <w:rFonts w:ascii="Arial;sans-serif" w:hAnsi="Arial;sans-serif"/>
          <w:b w:val="false"/>
          <w:color w:val="000000"/>
          <w:sz w:val="20"/>
        </w:rPr>
        <w:t>below</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lowest</w:t>
      </w:r>
      <w:r>
        <w:rPr>
          <w:color w:val="000000"/>
        </w:rPr>
        <w:t xml:space="preserve"> </w:t>
      </w:r>
      <w:r>
        <w:rPr>
          <w:rFonts w:ascii="Arial;sans-serif" w:hAnsi="Arial;sans-serif"/>
          <w:b w:val="false"/>
          <w:color w:val="000000"/>
          <w:sz w:val="20"/>
        </w:rPr>
        <w:t>performing</w:t>
      </w:r>
      <w:r>
        <w:rPr>
          <w:color w:val="000000"/>
        </w:rPr>
        <w:t xml:space="preserve"> </w:t>
      </w:r>
      <w:r>
        <w:rPr>
          <w:rFonts w:ascii="Arial;sans-serif" w:hAnsi="Arial;sans-serif"/>
          <w:b w:val="false"/>
          <w:color w:val="000000"/>
          <w:sz w:val="20"/>
        </w:rPr>
        <w:t>non-bankrupt</w:t>
      </w:r>
      <w:r>
        <w:rPr>
          <w:color w:val="000000"/>
        </w:rPr>
        <w:t xml:space="preserve"> </w:t>
      </w:r>
      <w:r>
        <w:rPr>
          <w:rFonts w:ascii="Arial;sans-serif" w:hAnsi="Arial;sans-serif"/>
          <w:b w:val="false"/>
          <w:color w:val="000000"/>
          <w:sz w:val="20"/>
        </w:rPr>
        <w:t>member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in reverse</w:t>
      </w:r>
      <w:r>
        <w:rPr>
          <w:color w:val="000000"/>
        </w:rPr>
        <w:t xml:space="preserve"> </w:t>
      </w:r>
      <w:r>
        <w:rPr>
          <w:rFonts w:ascii="Arial;sans-serif" w:hAnsi="Arial;sans-serif"/>
          <w:b w:val="false"/>
          <w:color w:val="000000"/>
          <w:sz w:val="20"/>
        </w:rPr>
        <w:t>chronological</w:t>
      </w:r>
      <w:r>
        <w:rPr>
          <w:color w:val="000000"/>
        </w:rPr>
        <w:t xml:space="preserve"> </w:t>
      </w:r>
      <w:r>
        <w:rPr>
          <w:rFonts w:ascii="Arial;sans-serif" w:hAnsi="Arial;sans-serif"/>
          <w:b w:val="false"/>
          <w:color w:val="000000"/>
          <w:sz w:val="20"/>
        </w:rPr>
        <w:t>order</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bankruptcy</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(except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extent</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member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removed pursuant to another of the circumstances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the Compensation Committee shall have the authority to make other appropriate adjustments in</w:t>
      </w:r>
    </w:p>
    <w:p>
      <w:pPr>
        <w:pStyle w:val="TextBody"/>
        <w:bidi w:val="0"/>
        <w:spacing w:lineRule="auto" w:line="288" w:before="10" w:after="283"/>
        <w:jc w:val="left"/>
        <w:rPr/>
      </w:pPr>
      <w:r>
        <w:rPr>
          <w:rFonts w:ascii="Arial;sans-serif" w:hAnsi="Arial;sans-serif"/>
          <w:b w:val="false"/>
          <w:color w:val="000000"/>
          <w:sz w:val="20"/>
        </w:rPr>
        <w:t>response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change</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circumstances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results</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member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Peer</w:t>
      </w:r>
      <w:r>
        <w:rPr>
          <w:color w:val="000000"/>
        </w:rPr>
        <w:t xml:space="preserve"> </w:t>
      </w:r>
      <w:r>
        <w:rPr>
          <w:rFonts w:ascii="Arial;sans-serif" w:hAnsi="Arial;sans-serif"/>
          <w:b w:val="false"/>
          <w:color w:val="000000"/>
          <w:sz w:val="20"/>
        </w:rPr>
        <w:t>Group</w:t>
      </w:r>
      <w:r>
        <w:rPr>
          <w:color w:val="000000"/>
        </w:rPr>
        <w:t xml:space="preserve"> </w:t>
      </w:r>
      <w:r>
        <w:rPr>
          <w:rFonts w:ascii="Arial;sans-serif" w:hAnsi="Arial;sans-serif"/>
          <w:b w:val="false"/>
          <w:color w:val="000000"/>
          <w:sz w:val="20"/>
        </w:rPr>
        <w:t>no</w:t>
      </w:r>
      <w:r>
        <w:rPr>
          <w:color w:val="000000"/>
        </w:rPr>
        <w:t xml:space="preserve"> </w:t>
      </w:r>
      <w:r>
        <w:rPr>
          <w:rFonts w:ascii="Arial;sans-serif" w:hAnsi="Arial;sans-serif"/>
          <w:b w:val="false"/>
          <w:color w:val="000000"/>
          <w:sz w:val="20"/>
        </w:rPr>
        <w:t>longer</w:t>
      </w:r>
      <w:r>
        <w:rPr>
          <w:color w:val="000000"/>
        </w:rPr>
        <w:t xml:space="preserve"> </w:t>
      </w:r>
      <w:r>
        <w:rPr>
          <w:rFonts w:ascii="Arial;sans-serif" w:hAnsi="Arial;sans-serif"/>
          <w:b w:val="false"/>
          <w:color w:val="000000"/>
          <w:sz w:val="20"/>
        </w:rPr>
        <w:t>satisfying</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criteria</w:t>
      </w:r>
      <w:r>
        <w:rPr>
          <w:color w:val="000000"/>
        </w:rPr>
        <w:t xml:space="preserve"> </w:t>
      </w:r>
      <w:r>
        <w:rPr>
          <w:rFonts w:ascii="Arial;sans-serif" w:hAnsi="Arial;sans-serif"/>
          <w:b w:val="false"/>
          <w:color w:val="000000"/>
          <w:sz w:val="20"/>
        </w:rPr>
        <w:t>for which such member was originally selected.</w:t>
      </w:r>
    </w:p>
    <w:p>
      <w:pPr>
        <w:pStyle w:val="TextBody"/>
        <w:bidi w:val="0"/>
        <w:spacing w:before="53" w:after="283"/>
        <w:jc w:val="left"/>
        <w:rPr/>
      </w:pPr>
      <w:r>
        <w:rPr/>
      </w:r>
    </w:p>
    <w:p>
      <w:pPr>
        <w:pStyle w:val="TextBody"/>
        <w:bidi w:val="0"/>
        <w:spacing w:lineRule="auto" w:line="288" w:before="1" w:after="283"/>
        <w:ind w:left="0" w:right="0" w:firstLine="360"/>
        <w:jc w:val="left"/>
        <w:rPr/>
      </w:pPr>
      <w:r>
        <w:rPr>
          <w:rFonts w:ascii="Arial;sans-serif" w:hAnsi="Arial;sans-serif"/>
          <w:b w:val="false"/>
          <w:color w:val="000000"/>
          <w:sz w:val="20"/>
        </w:rPr>
        <w:t>The total “# of Shares” earned shall be determined by the Compensation Committee of the Board of Directors of the Company (the “Administrator”) in its sole discretion based on the formula set out above in this Section 3.</w:t>
      </w:r>
      <w:r>
        <w:rPr>
          <w:color w:val="000000"/>
        </w:rPr>
        <w:t xml:space="preserve"> </w:t>
      </w:r>
      <w:r>
        <w:rPr>
          <w:rFonts w:ascii="Arial;sans-serif" w:hAnsi="Arial;sans-serif"/>
          <w:b w:val="false"/>
          <w:color w:val="000000"/>
          <w:sz w:val="20"/>
        </w:rPr>
        <w:t>The Payout Percentage may be as low as 0%, or as high as 200%.</w:t>
      </w:r>
      <w:r>
        <w:rPr>
          <w:color w:val="000000"/>
        </w:rPr>
        <w:t xml:space="preserve"> </w:t>
      </w:r>
      <w:r>
        <w:rPr>
          <w:rFonts w:ascii="Arial;sans-serif" w:hAnsi="Arial;sans-serif"/>
          <w:b w:val="false"/>
          <w:color w:val="000000"/>
          <w:sz w:val="20"/>
        </w:rPr>
        <w:t>The Administrator shall make the determination of the EPS</w:t>
      </w:r>
      <w:r>
        <w:rPr>
          <w:color w:val="000000"/>
        </w:rPr>
        <w:t xml:space="preserve"> </w:t>
      </w:r>
      <w:r>
        <w:rPr>
          <w:rFonts w:ascii="Arial;sans-serif" w:hAnsi="Arial;sans-serif"/>
          <w:b w:val="false"/>
          <w:color w:val="000000"/>
          <w:sz w:val="20"/>
        </w:rPr>
        <w:t>Payout</w:t>
      </w:r>
      <w:r>
        <w:rPr>
          <w:color w:val="000000"/>
        </w:rPr>
        <w:t xml:space="preserve"> </w:t>
      </w:r>
      <w:r>
        <w:rPr>
          <w:rFonts w:ascii="Arial;sans-serif" w:hAnsi="Arial;sans-serif"/>
          <w:b w:val="false"/>
          <w:color w:val="000000"/>
          <w:sz w:val="20"/>
        </w:rPr>
        <w:t>Percentage</w:t>
      </w:r>
      <w:r>
        <w:rPr>
          <w:color w:val="000000"/>
        </w:rPr>
        <w:t xml:space="preserve"> </w:t>
      </w:r>
      <w:r>
        <w:rPr>
          <w:rFonts w:ascii="Arial;sans-serif" w:hAnsi="Arial;sans-serif"/>
          <w:b w:val="false"/>
          <w:color w:val="000000"/>
          <w:sz w:val="20"/>
        </w:rPr>
        <w:t>at</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meeting</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Administrator</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occur</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first</w:t>
      </w:r>
      <w:r>
        <w:rPr>
          <w:color w:val="000000"/>
        </w:rPr>
        <w:t xml:space="preserve"> </w:t>
      </w:r>
      <w:r>
        <w:rPr>
          <w:rFonts w:ascii="Arial;sans-serif" w:hAnsi="Arial;sans-serif"/>
          <w:b w:val="false"/>
          <w:color w:val="000000"/>
          <w:sz w:val="20"/>
        </w:rPr>
        <w:t>calendar</w:t>
      </w:r>
      <w:r>
        <w:rPr>
          <w:color w:val="000000"/>
        </w:rPr>
        <w:t xml:space="preserve"> </w:t>
      </w:r>
      <w:r>
        <w:rPr>
          <w:rFonts w:ascii="Arial;sans-serif" w:hAnsi="Arial;sans-serif"/>
          <w:b w:val="false"/>
          <w:color w:val="000000"/>
          <w:sz w:val="20"/>
        </w:rPr>
        <w:t>quarter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fiscal</w:t>
      </w:r>
      <w:r>
        <w:rPr>
          <w:color w:val="000000"/>
        </w:rPr>
        <w:t xml:space="preserve"> </w:t>
      </w:r>
      <w:r>
        <w:rPr>
          <w:rFonts w:ascii="Arial;sans-serif" w:hAnsi="Arial;sans-serif"/>
          <w:b w:val="false"/>
          <w:color w:val="000000"/>
          <w:sz w:val="20"/>
        </w:rPr>
        <w:t>[YYYY],</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shall make the determination of the</w:t>
      </w:r>
      <w:r>
        <w:rPr>
          <w:color w:val="000000"/>
        </w:rPr>
        <w:t xml:space="preserve"> </w:t>
      </w:r>
      <w:r>
        <w:rPr>
          <w:rFonts w:ascii="Arial;sans-serif" w:hAnsi="Arial;sans-serif"/>
          <w:b w:val="false"/>
          <w:color w:val="000000"/>
          <w:sz w:val="20"/>
        </w:rPr>
        <w:t># of Shares at a meeting of the Administrator to occur in the first calendar quarter of fiscal</w:t>
      </w:r>
      <w:r>
        <w:rPr>
          <w:color w:val="000000"/>
        </w:rPr>
        <w:t xml:space="preserve"> </w:t>
      </w:r>
      <w:r>
        <w:rPr>
          <w:rFonts w:ascii="Arial;sans-serif" w:hAnsi="Arial;sans-serif"/>
          <w:b w:val="false"/>
          <w:color w:val="000000"/>
          <w:sz w:val="20"/>
        </w:rPr>
        <w:t>year</w:t>
      </w:r>
      <w:r>
        <w:rPr>
          <w:color w:val="000000"/>
        </w:rPr>
        <w:t xml:space="preserve"> </w:t>
      </w:r>
      <w:r>
        <w:rPr>
          <w:rFonts w:ascii="Arial;sans-serif" w:hAnsi="Arial;sans-serif"/>
          <w:b w:val="false"/>
          <w:color w:val="000000"/>
          <w:sz w:val="20"/>
        </w:rPr>
        <w:t>[YYYY];</w:t>
      </w:r>
      <w:r>
        <w:rPr>
          <w:color w:val="000000"/>
        </w:rPr>
        <w:t xml:space="preserve"> </w:t>
      </w:r>
      <w:r>
        <w:rPr>
          <w:rFonts w:ascii="Arial;sans-serif" w:hAnsi="Arial;sans-serif"/>
          <w:b w:val="false"/>
          <w:color w:val="000000"/>
          <w:sz w:val="20"/>
        </w:rPr>
        <w:t>provided,</w:t>
      </w:r>
      <w:r>
        <w:rPr>
          <w:color w:val="000000"/>
        </w:rPr>
        <w:t xml:space="preserve"> </w:t>
      </w:r>
      <w:r>
        <w:rPr>
          <w:rFonts w:ascii="Arial;sans-serif" w:hAnsi="Arial;sans-serif"/>
          <w:b w:val="false"/>
          <w:color w:val="000000"/>
          <w:sz w:val="20"/>
        </w:rPr>
        <w:t>however,</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Administrator</w:t>
      </w:r>
      <w:r>
        <w:rPr>
          <w:color w:val="000000"/>
        </w:rPr>
        <w:t xml:space="preserve"> </w:t>
      </w:r>
      <w:r>
        <w:rPr>
          <w:rFonts w:ascii="Arial;sans-serif" w:hAnsi="Arial;sans-serif"/>
          <w:b w:val="false"/>
          <w:color w:val="000000"/>
          <w:sz w:val="20"/>
        </w:rPr>
        <w:t>has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discretion</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make</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determination</w:t>
      </w:r>
      <w:r>
        <w:rPr>
          <w:color w:val="000000"/>
        </w:rPr>
        <w:t xml:space="preserve"> </w:t>
      </w:r>
      <w:r>
        <w:rPr>
          <w:rFonts w:ascii="Arial;sans-serif" w:hAnsi="Arial;sans-serif"/>
          <w:b w:val="false"/>
          <w:color w:val="000000"/>
          <w:sz w:val="20"/>
        </w:rPr>
        <w:t>and/or</w:t>
      </w:r>
      <w:r>
        <w:rPr>
          <w:color w:val="000000"/>
        </w:rPr>
        <w:t xml:space="preserve"> </w:t>
      </w:r>
      <w:r>
        <w:rPr>
          <w:rFonts w:ascii="Arial;sans-serif" w:hAnsi="Arial;sans-serif"/>
          <w:b w:val="false"/>
          <w:color w:val="000000"/>
          <w:sz w:val="20"/>
        </w:rPr>
        <w:t>grant of # of Shares at such time or times as it deems acceptable in the sole discretion of the Administrator.</w:t>
      </w:r>
    </w:p>
    <w:p>
      <w:pPr>
        <w:pStyle w:val="TextBody"/>
        <w:bidi w:val="0"/>
        <w:spacing w:before="57"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 4.    </w:t>
      </w:r>
      <w:r>
        <w:rPr>
          <w:rFonts w:ascii="Arial;sans-serif" w:hAnsi="Arial;sans-serif"/>
          <w:b w:val="false"/>
          <w:i/>
          <w:color w:val="000000"/>
          <w:sz w:val="20"/>
        </w:rPr>
        <w:t>Payment</w:t>
      </w:r>
      <w:r>
        <w:rPr>
          <w:color w:val="000000"/>
        </w:rPr>
        <w:t xml:space="preserve"> </w:t>
      </w:r>
      <w:r>
        <w:rPr>
          <w:rFonts w:ascii="Arial;sans-serif" w:hAnsi="Arial;sans-serif"/>
          <w:b w:val="false"/>
          <w:i/>
          <w:color w:val="000000"/>
          <w:sz w:val="20"/>
        </w:rPr>
        <w:t>of</w:t>
      </w:r>
      <w:r>
        <w:rPr>
          <w:color w:val="000000"/>
        </w:rPr>
        <w:t xml:space="preserve"> </w:t>
      </w:r>
      <w:r>
        <w:rPr>
          <w:rFonts w:ascii="Arial;sans-serif" w:hAnsi="Arial;sans-serif"/>
          <w:b w:val="false"/>
          <w:i/>
          <w:color w:val="000000"/>
          <w:sz w:val="20"/>
        </w:rPr>
        <w:t>Performance</w:t>
      </w:r>
      <w:r>
        <w:rPr>
          <w:color w:val="000000"/>
        </w:rPr>
        <w:t xml:space="preserve"> </w:t>
      </w:r>
      <w:r>
        <w:rPr>
          <w:rFonts w:ascii="Arial;sans-serif" w:hAnsi="Arial;sans-serif"/>
          <w:b w:val="false"/>
          <w:i/>
          <w:color w:val="000000"/>
          <w:sz w:val="20"/>
        </w:rPr>
        <w:t>Shares.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Performance</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payable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as determined by the Payout Percentage calculated pursuant to Section 3 shall be as follows:</w:t>
      </w:r>
    </w:p>
    <w:p>
      <w:pPr>
        <w:pStyle w:val="TextBody"/>
        <w:bidi w:val="0"/>
        <w:spacing w:before="39" w:after="283"/>
        <w:jc w:val="left"/>
        <w:rPr/>
      </w:pPr>
      <w:r>
        <w:rPr/>
      </w:r>
    </w:p>
    <w:p>
      <w:pPr>
        <w:pStyle w:val="TextBody"/>
        <w:bidi w:val="0"/>
        <w:spacing w:lineRule="auto" w:line="285" w:before="0" w:after="0"/>
        <w:ind w:left="0" w:right="0" w:hanging="360"/>
        <w:jc w:val="left"/>
        <w:rPr/>
      </w:pPr>
      <w:r>
        <w:rPr>
          <w:color w:val="000000"/>
        </w:rPr>
        <w:t>•    </w:t>
      </w:r>
      <w:r>
        <w:rPr>
          <w:rFonts w:ascii="Arial;sans-serif" w:hAnsi="Arial;sans-serif"/>
          <w:b w:val="false"/>
          <w:color w:val="000000"/>
          <w:sz w:val="20"/>
        </w:rPr>
        <w:t>100%</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Performance</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paid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form</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common</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(without</w:t>
      </w:r>
      <w:r>
        <w:rPr>
          <w:color w:val="000000"/>
        </w:rPr>
        <w:t xml:space="preserve"> </w:t>
      </w:r>
      <w:r>
        <w:rPr>
          <w:rFonts w:ascii="Arial;sans-serif" w:hAnsi="Arial;sans-serif"/>
          <w:b w:val="false"/>
          <w:color w:val="000000"/>
          <w:sz w:val="20"/>
        </w:rPr>
        <w:t>any restrictions thereupon).</w:t>
      </w:r>
    </w:p>
    <w:p>
      <w:pPr>
        <w:pStyle w:val="TextBody"/>
        <w:bidi w:val="0"/>
        <w:spacing w:before="56" w:after="283"/>
        <w:jc w:val="left"/>
        <w:rPr/>
      </w:pPr>
      <w:r>
        <w:rPr/>
      </w:r>
    </w:p>
    <w:p>
      <w:pPr>
        <w:pStyle w:val="TextBody"/>
        <w:bidi w:val="0"/>
        <w:spacing w:lineRule="auto" w:line="288" w:before="0" w:after="0"/>
        <w:jc w:val="left"/>
        <w:rPr/>
      </w:pP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shall</w:t>
      </w:r>
      <w:r>
        <w:rPr>
          <w:color w:val="000000"/>
        </w:rPr>
        <w:t xml:space="preserve"> </w:t>
      </w:r>
      <w:r>
        <w:rPr>
          <w:rFonts w:ascii="Arial;sans-serif" w:hAnsi="Arial;sans-serif"/>
          <w:b w:val="false"/>
          <w:color w:val="000000"/>
          <w:sz w:val="20"/>
        </w:rPr>
        <w:t>not</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required</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issue</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fractional</w:t>
      </w:r>
      <w:r>
        <w:rPr>
          <w:color w:val="000000"/>
        </w:rPr>
        <w:t xml:space="preserve"> </w:t>
      </w:r>
      <w:r>
        <w:rPr>
          <w:rFonts w:ascii="Arial;sans-serif" w:hAnsi="Arial;sans-serif"/>
          <w:b w:val="false"/>
          <w:color w:val="000000"/>
          <w:sz w:val="20"/>
        </w:rPr>
        <w:t>Performance</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pursuant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 Agreement, and the Compensation Committee shall round fractions down.</w:t>
      </w:r>
    </w:p>
    <w:p>
      <w:pPr>
        <w:pStyle w:val="TextBody"/>
        <w:bidi w:val="0"/>
        <w:spacing w:before="53" w:after="283"/>
        <w:jc w:val="left"/>
        <w:rPr/>
      </w:pPr>
      <w:r>
        <w:rPr/>
      </w:r>
    </w:p>
    <w:p>
      <w:pPr>
        <w:pStyle w:val="TextBody"/>
        <w:bidi w:val="0"/>
        <w:spacing w:lineRule="auto" w:line="288" w:before="0" w:after="0"/>
        <w:jc w:val="left"/>
        <w:rPr/>
      </w:pPr>
      <w:r>
        <w:rPr>
          <w:rFonts w:ascii="Arial;sans-serif" w:hAnsi="Arial;sans-serif"/>
          <w:b w:val="false"/>
          <w:color w:val="000000"/>
          <w:sz w:val="20"/>
        </w:rPr>
        <w:t>SECTION 5.</w:t>
      </w:r>
      <w:r>
        <w:rPr>
          <w:color w:val="000000"/>
        </w:rPr>
        <w:t>    </w:t>
      </w:r>
      <w:r>
        <w:rPr>
          <w:rFonts w:ascii="Arial;sans-serif" w:hAnsi="Arial;sans-serif"/>
          <w:b w:val="false"/>
          <w:i/>
          <w:color w:val="000000"/>
          <w:sz w:val="20"/>
        </w:rPr>
        <w:t>Termination</w:t>
      </w:r>
      <w:r>
        <w:rPr>
          <w:color w:val="000000"/>
        </w:rPr>
        <w:t xml:space="preserve"> </w:t>
      </w:r>
      <w:r>
        <w:rPr>
          <w:rFonts w:ascii="Arial;sans-serif" w:hAnsi="Arial;sans-serif"/>
          <w:b w:val="false"/>
          <w:i/>
          <w:color w:val="000000"/>
          <w:sz w:val="20"/>
        </w:rPr>
        <w:t>of Employment.</w:t>
      </w:r>
    </w:p>
    <w:p>
      <w:pPr>
        <w:pStyle w:val="TextBody"/>
        <w:bidi w:val="0"/>
        <w:spacing w:before="61" w:after="283"/>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0"/>
        </w:rPr>
        <w:t>(a)If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Participant’s</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terminated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 prior to the end of the Performance Period (other</w:t>
      </w:r>
      <w:r>
        <w:rPr>
          <w:color w:val="000000"/>
        </w:rPr>
        <w:t xml:space="preserve"> </w:t>
      </w:r>
      <w:r>
        <w:rPr>
          <w:rFonts w:ascii="Arial;sans-serif" w:hAnsi="Arial;sans-serif"/>
          <w:b w:val="false"/>
          <w:color w:val="000000"/>
          <w:sz w:val="20"/>
        </w:rPr>
        <w:t>than</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death</w:t>
      </w:r>
      <w:r>
        <w:rPr>
          <w:color w:val="000000"/>
        </w:rPr>
        <w:t xml:space="preserve"> </w:t>
      </w:r>
      <w:r>
        <w:rPr>
          <w:rFonts w:ascii="Arial;sans-serif" w:hAnsi="Arial;sans-serif"/>
          <w:b w:val="false"/>
          <w:color w:val="000000"/>
          <w:sz w:val="20"/>
        </w:rPr>
        <w:t>or Disability 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virtue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Participant’s</w:t>
      </w:r>
      <w:r>
        <w:rPr>
          <w:color w:val="000000"/>
        </w:rPr>
        <w:t xml:space="preserve"> </w:t>
      </w:r>
      <w:r>
        <w:rPr>
          <w:rFonts w:ascii="Arial;sans-serif" w:hAnsi="Arial;sans-serif"/>
          <w:b w:val="false"/>
          <w:color w:val="000000"/>
          <w:sz w:val="20"/>
        </w:rPr>
        <w:t>Full</w:t>
      </w:r>
      <w:r>
        <w:rPr>
          <w:color w:val="000000"/>
        </w:rPr>
        <w:t xml:space="preserve"> </w:t>
      </w:r>
      <w:r>
        <w:rPr>
          <w:rFonts w:ascii="Arial;sans-serif" w:hAnsi="Arial;sans-serif"/>
          <w:b w:val="false"/>
          <w:color w:val="000000"/>
          <w:sz w:val="20"/>
        </w:rPr>
        <w:t>Career</w:t>
      </w:r>
      <w:r>
        <w:rPr>
          <w:color w:val="000000"/>
        </w:rPr>
        <w:t xml:space="preserve"> </w:t>
      </w:r>
      <w:r>
        <w:rPr>
          <w:rFonts w:ascii="Arial;sans-serif" w:hAnsi="Arial;sans-serif"/>
          <w:b w:val="false"/>
          <w:color w:val="000000"/>
          <w:sz w:val="20"/>
        </w:rPr>
        <w:t>Retirement),</w:t>
      </w:r>
      <w:r>
        <w:rPr>
          <w:color w:val="000000"/>
        </w:rPr>
        <w:t xml:space="preserve"> </w:t>
      </w:r>
      <w:r>
        <w:rPr>
          <w:rFonts w:ascii="Arial;sans-serif" w:hAnsi="Arial;sans-serif"/>
          <w:b w:val="false"/>
          <w:color w:val="000000"/>
          <w:sz w:val="20"/>
        </w:rPr>
        <w:t xml:space="preserve">the Performance Award shall be forfeited in its entirety. </w:t>
      </w:r>
    </w:p>
    <w:p>
      <w:pPr>
        <w:pStyle w:val="TextBody"/>
        <w:bidi w:val="0"/>
        <w:spacing w:before="54"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(b)If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Participant’s</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terminated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reason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death or Disability</w:t>
      </w:r>
      <w:r>
        <w:rPr>
          <w:color w:val="000000"/>
        </w:rPr>
        <w:t xml:space="preserve"> </w:t>
      </w:r>
      <w:r>
        <w:rPr>
          <w:rFonts w:ascii="Arial;sans-serif" w:hAnsi="Arial;sans-serif"/>
          <w:b w:val="false"/>
          <w:color w:val="000000"/>
          <w:sz w:val="20"/>
        </w:rPr>
        <w:t>prior</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end</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 Performance Period, the Performance Award shall be reduced pro rata based on the number of months remaining in the performance period after the month of such employee’s death or Disability. The percentage of the reduced Performance Award to be distributed to such employee shall be determined by the Administrator (i) on the basis of the performance levels established for such award (including the minimum performance level) and the performance level achieved through the end of the fiscal year during which such employee became died or became Disabled and (ii) in the discretion of the Administrator, on the basis of individual performance during the applicable period. Such Final Awards will immediately vest and be paid as promptly as practicable..</w:t>
      </w:r>
    </w:p>
    <w:p>
      <w:pPr>
        <w:pStyle w:val="TextBody"/>
        <w:bidi w:val="0"/>
        <w:spacing w:before="53"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(c)If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Participant’s</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terminated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virtue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Full</w:t>
      </w:r>
      <w:r>
        <w:rPr>
          <w:color w:val="000000"/>
        </w:rPr>
        <w:t xml:space="preserve"> </w:t>
      </w:r>
      <w:r>
        <w:rPr>
          <w:rFonts w:ascii="Arial;sans-serif" w:hAnsi="Arial;sans-serif"/>
          <w:b w:val="false"/>
          <w:color w:val="000000"/>
          <w:sz w:val="20"/>
        </w:rPr>
        <w:t>Career</w:t>
      </w:r>
      <w:r>
        <w:rPr>
          <w:color w:val="000000"/>
        </w:rPr>
        <w:t xml:space="preserve"> </w:t>
      </w:r>
      <w:r>
        <w:rPr>
          <w:rFonts w:ascii="Arial;sans-serif" w:hAnsi="Arial;sans-serif"/>
          <w:b w:val="false"/>
          <w:color w:val="000000"/>
          <w:sz w:val="20"/>
        </w:rPr>
        <w:t>Retirement,</w:t>
      </w:r>
      <w:r>
        <w:rPr>
          <w:color w:val="000000"/>
        </w:rPr>
        <w:t xml:space="preserve"> </w:t>
      </w:r>
      <w:r>
        <w:rPr>
          <w:rFonts w:ascii="Arial;sans-serif" w:hAnsi="Arial;sans-serif"/>
          <w:b w:val="false"/>
          <w:color w:val="000000"/>
          <w:sz w:val="20"/>
        </w:rPr>
        <w:t>the Performance Shares shall continue to vest as they would have absent an employment termination, subject to the Participant’s continued compliance with the restrictions set forth in Section 6, and the number of Performance Shares earned as of the end of the Performance Period shall be determined in accordance with Section 3 and will be paid to the Participant at the time they would have been paid absent an employment termination.</w:t>
      </w:r>
    </w:p>
    <w:p>
      <w:pPr>
        <w:pStyle w:val="TextBody"/>
        <w:bidi w:val="0"/>
        <w:spacing w:before="56"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purposes of this Award Agreement:</w:t>
      </w:r>
    </w:p>
    <w:p>
      <w:pPr>
        <w:pStyle w:val="TextBody"/>
        <w:bidi w:val="0"/>
        <w:spacing w:before="61" w:after="283"/>
        <w:jc w:val="left"/>
        <w:rPr/>
      </w:pPr>
      <w:r>
        <w:rPr/>
      </w:r>
    </w:p>
    <w:p>
      <w:pPr>
        <w:pStyle w:val="TextBody"/>
        <w:bidi w:val="0"/>
        <w:spacing w:lineRule="auto" w:line="288" w:before="0" w:after="0"/>
        <w:ind w:left="0" w:right="0" w:firstLine="720"/>
        <w:jc w:val="left"/>
        <w:rPr/>
      </w:pPr>
      <w:r>
        <w:rPr>
          <w:color w:val="000000"/>
        </w:rPr>
        <w:t>“</w:t>
      </w:r>
      <w:r>
        <w:rPr>
          <w:rFonts w:ascii="Arial;sans-serif" w:hAnsi="Arial;sans-serif"/>
          <w:b w:val="false"/>
          <w:color w:val="000000"/>
          <w:sz w:val="20"/>
        </w:rPr>
        <w:t>Full Career Retirement” means the Participant’s termination of employment from the Company and its subsidiaries</w:t>
      </w:r>
      <w:r>
        <w:rPr>
          <w:color w:val="000000"/>
        </w:rPr>
        <w:t xml:space="preserve"> </w:t>
      </w:r>
      <w:r>
        <w:rPr>
          <w:rFonts w:ascii="Arial;sans-serif" w:hAnsi="Arial;sans-serif"/>
          <w:b w:val="false"/>
          <w:color w:val="000000"/>
          <w:sz w:val="20"/>
        </w:rPr>
        <w:t>and/or</w:t>
      </w:r>
      <w:r>
        <w:rPr>
          <w:color w:val="000000"/>
        </w:rPr>
        <w:t xml:space="preserve"> </w:t>
      </w:r>
      <w:r>
        <w:rPr>
          <w:rFonts w:ascii="Arial;sans-serif" w:hAnsi="Arial;sans-serif"/>
          <w:b w:val="false"/>
          <w:color w:val="000000"/>
          <w:sz w:val="20"/>
        </w:rPr>
        <w:t>affiliates,</w:t>
      </w:r>
      <w:r>
        <w:rPr>
          <w:color w:val="000000"/>
        </w:rPr>
        <w:t xml:space="preserve"> </w:t>
      </w:r>
      <w:r>
        <w:rPr>
          <w:rFonts w:ascii="Arial;sans-serif" w:hAnsi="Arial;sans-serif"/>
          <w:b w:val="false"/>
          <w:color w:val="000000"/>
          <w:sz w:val="20"/>
        </w:rPr>
        <w:t>other</w:t>
      </w:r>
      <w:r>
        <w:rPr>
          <w:color w:val="000000"/>
        </w:rPr>
        <w:t xml:space="preserve"> </w:t>
      </w:r>
      <w:r>
        <w:rPr>
          <w:rFonts w:ascii="Arial;sans-serif" w:hAnsi="Arial;sans-serif"/>
          <w:b w:val="false"/>
          <w:color w:val="000000"/>
          <w:sz w:val="20"/>
        </w:rPr>
        <w:t>than</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cause,</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after</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has</w:t>
      </w:r>
      <w:r>
        <w:rPr>
          <w:color w:val="000000"/>
        </w:rPr>
        <w:t xml:space="preserve"> </w:t>
      </w:r>
      <w:r>
        <w:rPr>
          <w:rFonts w:ascii="Arial;sans-serif" w:hAnsi="Arial;sans-serif"/>
          <w:b w:val="false"/>
          <w:color w:val="000000"/>
          <w:sz w:val="20"/>
        </w:rPr>
        <w:t>become</w:t>
      </w:r>
      <w:r>
        <w:rPr>
          <w:color w:val="000000"/>
        </w:rPr>
        <w:t xml:space="preserve"> </w:t>
      </w:r>
      <w:r>
        <w:rPr>
          <w:rFonts w:ascii="Arial;sans-serif" w:hAnsi="Arial;sans-serif"/>
          <w:b w:val="false"/>
          <w:color w:val="000000"/>
          <w:sz w:val="20"/>
        </w:rPr>
        <w:t>Retirement Eligible.</w:t>
      </w:r>
    </w:p>
    <w:p>
      <w:pPr>
        <w:pStyle w:val="TextBody"/>
        <w:bidi w:val="0"/>
        <w:spacing w:before="54" w:after="283"/>
        <w:jc w:val="left"/>
        <w:rPr/>
      </w:pPr>
      <w:r>
        <w:rPr/>
      </w:r>
    </w:p>
    <w:p>
      <w:pPr>
        <w:pStyle w:val="TextBody"/>
        <w:bidi w:val="0"/>
        <w:spacing w:lineRule="auto" w:line="288" w:before="0" w:after="0"/>
        <w:ind w:left="0" w:right="0" w:firstLine="720"/>
        <w:jc w:val="left"/>
        <w:rPr/>
      </w:pPr>
      <w:r>
        <w:rPr>
          <w:color w:val="000000"/>
        </w:rPr>
        <w:t>“</w:t>
      </w:r>
      <w:r>
        <w:rPr>
          <w:rFonts w:ascii="Arial;sans-serif" w:hAnsi="Arial;sans-serif"/>
          <w:b w:val="false"/>
          <w:color w:val="000000"/>
          <w:sz w:val="20"/>
        </w:rPr>
        <w:t>Retirement Eligible” means that the Participant (i) has attained age 55, (ii) has a minimum of 10 years of service</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subsidiaries</w:t>
      </w:r>
      <w:r>
        <w:rPr>
          <w:color w:val="000000"/>
        </w:rPr>
        <w:t xml:space="preserve"> </w:t>
      </w:r>
      <w:r>
        <w:rPr>
          <w:rFonts w:ascii="Arial;sans-serif" w:hAnsi="Arial;sans-serif"/>
          <w:b w:val="false"/>
          <w:color w:val="000000"/>
          <w:sz w:val="20"/>
        </w:rPr>
        <w:t>and/or</w:t>
      </w:r>
      <w:r>
        <w:rPr>
          <w:color w:val="000000"/>
        </w:rPr>
        <w:t xml:space="preserve"> </w:t>
      </w:r>
      <w:r>
        <w:rPr>
          <w:rFonts w:ascii="Arial;sans-serif" w:hAnsi="Arial;sans-serif"/>
          <w:b w:val="false"/>
          <w:color w:val="000000"/>
          <w:sz w:val="20"/>
        </w:rPr>
        <w:t>affiliates</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service</w:t>
      </w:r>
      <w:r>
        <w:rPr>
          <w:color w:val="000000"/>
        </w:rPr>
        <w:t xml:space="preserve"> </w:t>
      </w:r>
      <w:r>
        <w:rPr>
          <w:rFonts w:ascii="Arial;sans-serif" w:hAnsi="Arial;sans-serif"/>
          <w:b w:val="false"/>
          <w:color w:val="000000"/>
          <w:sz w:val="20"/>
        </w:rPr>
        <w:t>only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have</w:t>
      </w:r>
      <w:r>
        <w:rPr>
          <w:color w:val="000000"/>
        </w:rPr>
        <w:t xml:space="preserve"> </w:t>
      </w:r>
      <w:r>
        <w:rPr>
          <w:rFonts w:ascii="Arial;sans-serif" w:hAnsi="Arial;sans-serif"/>
          <w:b w:val="false"/>
          <w:color w:val="000000"/>
          <w:sz w:val="20"/>
        </w:rPr>
        <w:t>deemed</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have</w:t>
      </w:r>
      <w:r>
        <w:rPr>
          <w:color w:val="000000"/>
        </w:rPr>
        <w:t xml:space="preserve"> </w:t>
      </w:r>
      <w:r>
        <w:rPr>
          <w:rFonts w:ascii="Arial;sans-serif" w:hAnsi="Arial;sans-serif"/>
          <w:b w:val="false"/>
          <w:color w:val="000000"/>
          <w:sz w:val="20"/>
        </w:rPr>
        <w:t>commenced at</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subsidiary</w:t>
      </w:r>
      <w:r>
        <w:rPr>
          <w:color w:val="000000"/>
        </w:rPr>
        <w:t xml:space="preserve"> </w:t>
      </w:r>
      <w:r>
        <w:rPr>
          <w:rFonts w:ascii="Arial;sans-serif" w:hAnsi="Arial;sans-serif"/>
          <w:b w:val="false"/>
          <w:color w:val="000000"/>
          <w:sz w:val="20"/>
        </w:rPr>
        <w:t>and/or</w:t>
      </w:r>
      <w:r>
        <w:rPr>
          <w:color w:val="000000"/>
        </w:rPr>
        <w:t xml:space="preserve"> </w:t>
      </w:r>
      <w:r>
        <w:rPr>
          <w:rFonts w:ascii="Arial;sans-serif" w:hAnsi="Arial;sans-serif"/>
          <w:b w:val="false"/>
          <w:color w:val="000000"/>
          <w:sz w:val="20"/>
        </w:rPr>
        <w:t>affiliate</w:t>
      </w:r>
      <w:r>
        <w:rPr>
          <w:color w:val="000000"/>
        </w:rPr>
        <w:t xml:space="preserve"> </w:t>
      </w:r>
      <w:r>
        <w:rPr>
          <w:rFonts w:ascii="Arial;sans-serif" w:hAnsi="Arial;sans-serif"/>
          <w:b w:val="false"/>
          <w:color w:val="000000"/>
          <w:sz w:val="20"/>
        </w:rPr>
        <w:t>became</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subsidiary</w:t>
      </w:r>
      <w:r>
        <w:rPr>
          <w:color w:val="000000"/>
        </w:rPr>
        <w:t xml:space="preserve"> </w:t>
      </w:r>
      <w:r>
        <w:rPr>
          <w:rFonts w:ascii="Arial;sans-serif" w:hAnsi="Arial;sans-serif"/>
          <w:b w:val="false"/>
          <w:color w:val="000000"/>
          <w:sz w:val="20"/>
        </w:rPr>
        <w:t>and/or</w:t>
      </w:r>
      <w:r>
        <w:rPr>
          <w:color w:val="000000"/>
        </w:rPr>
        <w:t xml:space="preserve"> </w:t>
      </w:r>
      <w:r>
        <w:rPr>
          <w:rFonts w:ascii="Arial;sans-serif" w:hAnsi="Arial;sans-serif"/>
          <w:b w:val="false"/>
          <w:color w:val="000000"/>
          <w:sz w:val="20"/>
        </w:rPr>
        <w:t>affiliate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(iii)</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numerical sum of the Participant’s age and years of service (as calculated pursuant to clause (ii) above) is equal to at least 70,</w:t>
      </w:r>
    </w:p>
    <w:p>
      <w:pPr>
        <w:pStyle w:val="TextBody"/>
        <w:bidi w:val="0"/>
        <w:spacing w:lineRule="auto" w:line="288" w:before="3" w:after="283"/>
        <w:jc w:val="left"/>
        <w:rPr/>
      </w:pPr>
      <w:r>
        <w:rPr>
          <w:rFonts w:ascii="Arial;sans-serif" w:hAnsi="Arial;sans-serif"/>
          <w:b w:val="false"/>
          <w:color w:val="000000"/>
          <w:sz w:val="20"/>
        </w:rPr>
        <w:t>(iv) the Participant has given notice, in form satisfactory to the Company, to the Chief People Officer of the Company (or, if the Participant is the Chief People Officer, to the Chief Executive Officer) of his or her intent to retire specifying the exact intended date of retirement (provided that prior to such notice the Company had not already</w:t>
      </w:r>
      <w:r>
        <w:rPr>
          <w:color w:val="000000"/>
        </w:rPr>
        <w:t xml:space="preserve"> </w:t>
      </w:r>
      <w:r>
        <w:rPr>
          <w:rFonts w:ascii="Arial;sans-serif" w:hAnsi="Arial;sans-serif"/>
          <w:b w:val="false"/>
          <w:color w:val="000000"/>
          <w:sz w:val="20"/>
        </w:rPr>
        <w:t>given</w:t>
      </w:r>
      <w:r>
        <w:rPr>
          <w:color w:val="000000"/>
        </w:rPr>
        <w:t xml:space="preserve"> </w:t>
      </w:r>
      <w:r>
        <w:rPr>
          <w:rFonts w:ascii="Arial;sans-serif" w:hAnsi="Arial;sans-serif"/>
          <w:b w:val="false"/>
          <w:color w:val="000000"/>
          <w:sz w:val="20"/>
        </w:rPr>
        <w:t>notice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he</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she</w:t>
      </w:r>
      <w:r>
        <w:rPr>
          <w:color w:val="000000"/>
        </w:rPr>
        <w:t xml:space="preserve"> </w:t>
      </w:r>
      <w:r>
        <w:rPr>
          <w:rFonts w:ascii="Arial;sans-serif" w:hAnsi="Arial;sans-serif"/>
          <w:b w:val="false"/>
          <w:color w:val="000000"/>
          <w:sz w:val="20"/>
        </w:rPr>
        <w:t>would</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terminated),</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remained</w:t>
      </w:r>
      <w:r>
        <w:rPr>
          <w:color w:val="000000"/>
        </w:rPr>
        <w:t xml:space="preserve"> </w:t>
      </w:r>
      <w:r>
        <w:rPr>
          <w:rFonts w:ascii="Arial;sans-serif" w:hAnsi="Arial;sans-serif"/>
          <w:b w:val="false"/>
          <w:color w:val="000000"/>
          <w:sz w:val="20"/>
        </w:rPr>
        <w:t>employed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until</w:t>
      </w:r>
      <w:r>
        <w:rPr>
          <w:color w:val="000000"/>
        </w:rPr>
        <w:t xml:space="preserve"> </w:t>
      </w:r>
      <w:r>
        <w:rPr>
          <w:rFonts w:ascii="Arial;sans-serif" w:hAnsi="Arial;sans-serif"/>
          <w:b w:val="false"/>
          <w:color w:val="000000"/>
          <w:sz w:val="20"/>
        </w:rPr>
        <w:t>the earlier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(a)</w:t>
      </w:r>
      <w:r>
        <w:rPr>
          <w:color w:val="000000"/>
        </w:rPr>
        <w:t xml:space="preserve"> </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10.3</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 w:after="283"/>
        <w:jc w:val="left"/>
        <w:rPr/>
      </w:pP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one</w:t>
      </w:r>
      <w:r>
        <w:rPr>
          <w:color w:val="000000"/>
        </w:rPr>
        <w:t xml:space="preserve"> </w:t>
      </w:r>
      <w:r>
        <w:rPr>
          <w:rFonts w:ascii="Arial;sans-serif" w:hAnsi="Arial;sans-serif"/>
          <w:b w:val="false"/>
          <w:color w:val="000000"/>
          <w:sz w:val="20"/>
        </w:rPr>
        <w:t>year</w:t>
      </w:r>
      <w:r>
        <w:rPr>
          <w:color w:val="000000"/>
        </w:rPr>
        <w:t xml:space="preserve"> </w:t>
      </w:r>
      <w:r>
        <w:rPr>
          <w:rFonts w:ascii="Arial;sans-serif" w:hAnsi="Arial;sans-serif"/>
          <w:b w:val="false"/>
          <w:color w:val="000000"/>
          <w:sz w:val="20"/>
        </w:rPr>
        <w:t>anniversary</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notice</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which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Employee</w:t>
      </w:r>
      <w:r>
        <w:rPr>
          <w:color w:val="000000"/>
        </w:rPr>
        <w:t xml:space="preserve"> </w:t>
      </w:r>
      <w:r>
        <w:rPr>
          <w:rFonts w:ascii="Arial;sans-serif" w:hAnsi="Arial;sans-serif"/>
          <w:b w:val="false"/>
          <w:color w:val="000000"/>
          <w:sz w:val="20"/>
        </w:rPr>
        <w:t>experienced</w:t>
      </w:r>
      <w:r>
        <w:rPr>
          <w:color w:val="000000"/>
        </w:rPr>
        <w:t xml:space="preserve"> </w:t>
      </w:r>
      <w:r>
        <w:rPr>
          <w:rFonts w:ascii="Arial;sans-serif" w:hAnsi="Arial;sans-serif"/>
          <w:b w:val="false"/>
          <w:color w:val="000000"/>
          <w:sz w:val="20"/>
        </w:rPr>
        <w:t>a termination of employment due to death or disability or was terminated by the Company without cause and (v) at the time the Participant gave such notice to the Company he or she also provided the Company a signed acknowledgement, in a form satisfactory to the Company, reaffirming the covenants set forth in Section 6.</w:t>
      </w:r>
    </w:p>
    <w:p>
      <w:pPr>
        <w:pStyle w:val="TextBody"/>
        <w:bidi w:val="0"/>
        <w:spacing w:before="55" w:after="283"/>
        <w:jc w:val="left"/>
        <w:rPr/>
      </w:pPr>
      <w:r>
        <w:rPr/>
      </w:r>
    </w:p>
    <w:p>
      <w:pPr>
        <w:pStyle w:val="TextBody"/>
        <w:bidi w:val="0"/>
        <w:spacing w:lineRule="auto" w:line="288" w:before="1" w:after="283"/>
        <w:ind w:left="0" w:right="0" w:firstLine="720"/>
        <w:jc w:val="left"/>
        <w:rPr/>
      </w:pPr>
      <w:r>
        <w:rPr>
          <w:rFonts w:ascii="Arial;sans-serif" w:hAnsi="Arial;sans-serif"/>
          <w:b w:val="false"/>
          <w:color w:val="000000"/>
          <w:sz w:val="20"/>
        </w:rPr>
        <w:t>(d)For</w:t>
      </w:r>
      <w:r>
        <w:rPr>
          <w:color w:val="000000"/>
        </w:rPr>
        <w:t xml:space="preserve"> </w:t>
      </w:r>
      <w:r>
        <w:rPr>
          <w:rFonts w:ascii="Arial;sans-serif" w:hAnsi="Arial;sans-serif"/>
          <w:b w:val="false"/>
          <w:color w:val="000000"/>
          <w:sz w:val="20"/>
        </w:rPr>
        <w:t>purposes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Agreement,</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transfer</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any subsidiary of the Company or vice versa, or from one subsidiary to another, shall not be considered a termination of employment.</w:t>
      </w:r>
    </w:p>
    <w:p>
      <w:pPr>
        <w:pStyle w:val="TextBody"/>
        <w:bidi w:val="0"/>
        <w:spacing w:before="53" w:after="283"/>
        <w:jc w:val="left"/>
        <w:rPr/>
      </w:pPr>
      <w:r>
        <w:rPr/>
      </w:r>
    </w:p>
    <w:p>
      <w:pPr>
        <w:pStyle w:val="TextBody"/>
        <w:bidi w:val="0"/>
        <w:spacing w:lineRule="auto" w:line="288" w:before="1" w:after="283"/>
        <w:ind w:left="0" w:right="0" w:firstLine="720"/>
        <w:jc w:val="left"/>
        <w:rPr/>
      </w:pPr>
      <w:r>
        <w:rPr>
          <w:rFonts w:ascii="Arial;sans-serif" w:hAnsi="Arial;sans-serif"/>
          <w:b w:val="false"/>
          <w:color w:val="000000"/>
          <w:sz w:val="20"/>
        </w:rPr>
        <w:t>SECTION 6.    </w:t>
      </w:r>
      <w:r>
        <w:rPr>
          <w:rFonts w:ascii="Arial;sans-serif" w:hAnsi="Arial;sans-serif"/>
          <w:b w:val="false"/>
          <w:i/>
          <w:color w:val="000000"/>
          <w:sz w:val="20"/>
        </w:rPr>
        <w:t>Retirement Restrictions.</w:t>
      </w:r>
      <w:r>
        <w:rPr>
          <w:color w:val="000000"/>
        </w:rPr>
        <w:t xml:space="preserve"> </w:t>
      </w:r>
      <w:r>
        <w:rPr>
          <w:rFonts w:ascii="Arial;sans-serif" w:hAnsi="Arial;sans-serif"/>
          <w:b w:val="false"/>
          <w:color w:val="000000"/>
          <w:sz w:val="20"/>
        </w:rPr>
        <w:t>For the period beginning on the date of the Participant’s Full Career Retirement and ending on the date on which the Award would have become fully vested absent a termination of employment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Restricted</w:t>
      </w:r>
      <w:r>
        <w:rPr>
          <w:color w:val="000000"/>
        </w:rPr>
        <w:t xml:space="preserve"> </w:t>
      </w:r>
      <w:r>
        <w:rPr>
          <w:rFonts w:ascii="Arial;sans-serif" w:hAnsi="Arial;sans-serif"/>
          <w:b w:val="false"/>
          <w:color w:val="000000"/>
          <w:sz w:val="20"/>
        </w:rPr>
        <w:t>Period”),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shall</w:t>
      </w:r>
      <w:r>
        <w:rPr>
          <w:color w:val="000000"/>
        </w:rPr>
        <w:t xml:space="preserve"> </w:t>
      </w:r>
      <w:r>
        <w:rPr>
          <w:rFonts w:ascii="Arial;sans-serif" w:hAnsi="Arial;sans-serif"/>
          <w:b w:val="false"/>
          <w:color w:val="000000"/>
          <w:sz w:val="20"/>
        </w:rPr>
        <w:t>not,</w:t>
      </w:r>
      <w:r>
        <w:rPr>
          <w:color w:val="000000"/>
        </w:rPr>
        <w:t xml:space="preserve"> </w:t>
      </w:r>
      <w:r>
        <w:rPr>
          <w:rFonts w:ascii="Arial;sans-serif" w:hAnsi="Arial;sans-serif"/>
          <w:b w:val="false"/>
          <w:color w:val="000000"/>
          <w:sz w:val="20"/>
        </w:rPr>
        <w:t>directly</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indirectly,</w:t>
      </w:r>
      <w:r>
        <w:rPr>
          <w:color w:val="000000"/>
        </w:rPr>
        <w:t xml:space="preserve"> </w:t>
      </w:r>
      <w:r>
        <w:rPr>
          <w:rFonts w:ascii="Arial;sans-serif" w:hAnsi="Arial;sans-serif"/>
          <w:b w:val="false"/>
          <w:color w:val="000000"/>
          <w:sz w:val="20"/>
        </w:rPr>
        <w:t>without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prior</w:t>
      </w:r>
      <w:r>
        <w:rPr>
          <w:color w:val="000000"/>
        </w:rPr>
        <w:t xml:space="preserve"> </w:t>
      </w:r>
      <w:r>
        <w:rPr>
          <w:rFonts w:ascii="Arial;sans-serif" w:hAnsi="Arial;sans-serif"/>
          <w:b w:val="false"/>
          <w:color w:val="000000"/>
          <w:sz w:val="20"/>
        </w:rPr>
        <w:t>written</w:t>
      </w:r>
      <w:r>
        <w:rPr>
          <w:color w:val="000000"/>
        </w:rPr>
        <w:t xml:space="preserve"> </w:t>
      </w:r>
      <w:r>
        <w:rPr>
          <w:rFonts w:ascii="Arial;sans-serif" w:hAnsi="Arial;sans-serif"/>
          <w:b w:val="false"/>
          <w:color w:val="000000"/>
          <w:sz w:val="20"/>
        </w:rPr>
        <w:t>consent</w:t>
      </w:r>
      <w:r>
        <w:rPr>
          <w:color w:val="000000"/>
        </w:rPr>
        <w:t xml:space="preserve"> </w:t>
      </w:r>
      <w:r>
        <w:rPr>
          <w:rFonts w:ascii="Arial;sans-serif" w:hAnsi="Arial;sans-serif"/>
          <w:b w:val="false"/>
          <w:color w:val="000000"/>
          <w:sz w:val="20"/>
        </w:rPr>
        <w:t>of the Company, render services as an employee, consultant, director, partner or otherwise to any person, entity, division, subsidiary or subgroup whose primary business activity is in competition with the Company’s business, or (2) assist with the creation of</w:t>
      </w:r>
      <w:r>
        <w:rPr>
          <w:color w:val="000000"/>
        </w:rPr>
        <w:t xml:space="preserve"> </w:t>
      </w:r>
      <w:r>
        <w:rPr>
          <w:rFonts w:ascii="Arial;sans-serif" w:hAnsi="Arial;sans-serif"/>
          <w:b w:val="false"/>
          <w:color w:val="000000"/>
          <w:sz w:val="20"/>
        </w:rPr>
        <w:t>(a) any entity whose primary business activity is in competition with the Company’s business, or (b) any division, subsidiary or subgroup of an entity whose primary business activity is in competition with the</w:t>
      </w:r>
      <w:r>
        <w:rPr>
          <w:color w:val="000000"/>
        </w:rPr>
        <w:t xml:space="preserve"> </w:t>
      </w:r>
      <w:r>
        <w:rPr>
          <w:rFonts w:ascii="Arial;sans-serif" w:hAnsi="Arial;sans-serif"/>
          <w:b w:val="false"/>
          <w:color w:val="000000"/>
          <w:sz w:val="20"/>
        </w:rPr>
        <w:t>Company’s</w:t>
      </w:r>
      <w:r>
        <w:rPr>
          <w:color w:val="000000"/>
        </w:rPr>
        <w:t xml:space="preserve"> </w:t>
      </w:r>
      <w:r>
        <w:rPr>
          <w:rFonts w:ascii="Arial;sans-serif" w:hAnsi="Arial;sans-serif"/>
          <w:b w:val="false"/>
          <w:color w:val="000000"/>
          <w:sz w:val="20"/>
        </w:rPr>
        <w:t>business.</w:t>
      </w:r>
      <w:r>
        <w:rPr>
          <w:color w:val="000000"/>
        </w:rPr>
        <w:t xml:space="preserve"> </w:t>
      </w:r>
      <w:r>
        <w:rPr>
          <w:rFonts w:ascii="Arial;sans-serif" w:hAnsi="Arial;sans-serif"/>
          <w:b w:val="false"/>
          <w:color w:val="000000"/>
          <w:sz w:val="20"/>
        </w:rPr>
        <w:t>Nothing</w:t>
      </w:r>
      <w:r>
        <w:rPr>
          <w:color w:val="000000"/>
        </w:rPr>
        <w:t xml:space="preserve"> </w:t>
      </w:r>
      <w:r>
        <w:rPr>
          <w:rFonts w:ascii="Arial;sans-serif" w:hAnsi="Arial;sans-serif"/>
          <w:b w:val="false"/>
          <w:color w:val="000000"/>
          <w:sz w:val="20"/>
        </w:rPr>
        <w:t>herein</w:t>
      </w:r>
      <w:r>
        <w:rPr>
          <w:color w:val="000000"/>
        </w:rPr>
        <w:t xml:space="preserve"> </w:t>
      </w:r>
      <w:r>
        <w:rPr>
          <w:rFonts w:ascii="Arial;sans-serif" w:hAnsi="Arial;sans-serif"/>
          <w:b w:val="false"/>
          <w:color w:val="000000"/>
          <w:sz w:val="20"/>
        </w:rPr>
        <w:t>shall</w:t>
      </w:r>
      <w:r>
        <w:rPr>
          <w:color w:val="000000"/>
        </w:rPr>
        <w:t xml:space="preserve"> </w:t>
      </w:r>
      <w:r>
        <w:rPr>
          <w:rFonts w:ascii="Arial;sans-serif" w:hAnsi="Arial;sans-serif"/>
          <w:b w:val="false"/>
          <w:color w:val="000000"/>
          <w:sz w:val="20"/>
        </w:rPr>
        <w:t>prohibit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pursuing</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corporation or entity engaged substantially in the discovery or development of pharmaceuticals or medical devices as long as</w:t>
      </w:r>
      <w:r>
        <w:rPr>
          <w:color w:val="000000"/>
        </w:rPr>
        <w:t xml:space="preserve"> </w:t>
      </w:r>
      <w:r>
        <w:rPr>
          <w:rFonts w:ascii="Arial;sans-serif" w:hAnsi="Arial;sans-serif"/>
          <w:b w:val="false"/>
          <w:color w:val="000000"/>
          <w:sz w:val="20"/>
        </w:rPr>
        <w:t>such company also manufactures, markets and sells such products.</w:t>
      </w:r>
      <w:r>
        <w:rPr>
          <w:color w:val="000000"/>
        </w:rPr>
        <w:t xml:space="preserve"> </w:t>
      </w:r>
      <w:r>
        <w:rPr>
          <w:rFonts w:ascii="Arial;sans-serif" w:hAnsi="Arial;sans-serif"/>
          <w:b w:val="false"/>
          <w:color w:val="000000"/>
          <w:sz w:val="20"/>
        </w:rPr>
        <w:t>THE PARTICIPANT ACKNOWLEDGES AND UNDERSTANDS THAT THIS SECTION MAY AFFECT THE PARTICIPANT’S RIGHT TO ACCEPT EMPLOYMENT WITH OTHER COMPANIES SUBSEQUENT TO EMPLOYMENT BY THE COMPANY AND THAT THE RESTRICTIONS CONTAINED HEREIN ARE SEPARATE AND APART AND IN ADDITION TO ANY SIMILAR RESTRICTIONS,</w:t>
      </w:r>
      <w:r>
        <w:rPr>
          <w:color w:val="000000"/>
        </w:rPr>
        <w:t xml:space="preserve"> </w:t>
      </w:r>
      <w:r>
        <w:rPr>
          <w:rFonts w:ascii="Arial;sans-serif" w:hAnsi="Arial;sans-serif"/>
          <w:b w:val="false"/>
          <w:color w:val="000000"/>
          <w:sz w:val="20"/>
        </w:rPr>
        <w:t>NON-COMPETE</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OTHERWISE,</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SUBJECT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PURSUANT ANY OTHER AGREEMENT WITH THE COMPANY OR ANY OF ITS AFFILIATES.</w:t>
      </w:r>
    </w:p>
    <w:p>
      <w:pPr>
        <w:pStyle w:val="TextBody"/>
        <w:bidi w:val="0"/>
        <w:spacing w:before="63"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 7.    </w:t>
      </w:r>
      <w:r>
        <w:rPr>
          <w:rFonts w:ascii="Arial;sans-serif" w:hAnsi="Arial;sans-serif"/>
          <w:b w:val="false"/>
          <w:i/>
          <w:color w:val="000000"/>
          <w:sz w:val="20"/>
        </w:rPr>
        <w:t>Tax Withholding.</w:t>
      </w:r>
      <w:r>
        <w:rPr>
          <w:color w:val="000000"/>
        </w:rPr>
        <w:t xml:space="preserve"> </w:t>
      </w:r>
      <w:r>
        <w:rPr>
          <w:rFonts w:ascii="Arial;sans-serif" w:hAnsi="Arial;sans-serif"/>
          <w:b w:val="false"/>
          <w:color w:val="000000"/>
          <w:sz w:val="20"/>
        </w:rPr>
        <w:t>Pursuant to paragraph 4.a.(6) of the Plan, the Administrator shall have the power and the right to deduct or withhold, or require the Participant to remit to the Company, an amount sufficient to satisfy</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federal,</w:t>
      </w:r>
      <w:r>
        <w:rPr>
          <w:color w:val="000000"/>
        </w:rPr>
        <w:t xml:space="preserve"> </w:t>
      </w:r>
      <w:r>
        <w:rPr>
          <w:rFonts w:ascii="Arial;sans-serif" w:hAnsi="Arial;sans-serif"/>
          <w:b w:val="false"/>
          <w:color w:val="000000"/>
          <w:sz w:val="20"/>
        </w:rPr>
        <w:t>state,</w:t>
      </w:r>
      <w:r>
        <w:rPr>
          <w:color w:val="000000"/>
        </w:rPr>
        <w:t xml:space="preserve"> </w:t>
      </w:r>
      <w:r>
        <w:rPr>
          <w:rFonts w:ascii="Arial;sans-serif" w:hAnsi="Arial;sans-serif"/>
          <w:b w:val="false"/>
          <w:color w:val="000000"/>
          <w:sz w:val="20"/>
        </w:rPr>
        <w:t>local</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other</w:t>
      </w:r>
      <w:r>
        <w:rPr>
          <w:color w:val="000000"/>
        </w:rPr>
        <w:t xml:space="preserve"> </w:t>
      </w:r>
      <w:r>
        <w:rPr>
          <w:rFonts w:ascii="Arial;sans-serif" w:hAnsi="Arial;sans-serif"/>
          <w:b w:val="false"/>
          <w:color w:val="000000"/>
          <w:sz w:val="20"/>
        </w:rPr>
        <w:t>taxes</w:t>
      </w:r>
      <w:r>
        <w:rPr>
          <w:color w:val="000000"/>
        </w:rPr>
        <w:t xml:space="preserve"> </w:t>
      </w:r>
      <w:r>
        <w:rPr>
          <w:rFonts w:ascii="Arial;sans-serif" w:hAnsi="Arial;sans-serif"/>
          <w:b w:val="false"/>
          <w:color w:val="000000"/>
          <w:sz w:val="20"/>
        </w:rPr>
        <w:t>required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applicable</w:t>
      </w:r>
      <w:r>
        <w:rPr>
          <w:color w:val="000000"/>
        </w:rPr>
        <w:t xml:space="preserve"> </w:t>
      </w:r>
      <w:r>
        <w:rPr>
          <w:rFonts w:ascii="Arial;sans-serif" w:hAnsi="Arial;sans-serif"/>
          <w:b w:val="false"/>
          <w:color w:val="000000"/>
          <w:sz w:val="20"/>
        </w:rPr>
        <w:t>law</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withheld</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respect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payment</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 Award.</w:t>
      </w:r>
    </w:p>
    <w:p>
      <w:pPr>
        <w:pStyle w:val="TextBody"/>
        <w:bidi w:val="0"/>
        <w:spacing w:before="55"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 8.    </w:t>
      </w:r>
      <w:r>
        <w:rPr>
          <w:rFonts w:ascii="Arial;sans-serif" w:hAnsi="Arial;sans-serif"/>
          <w:b w:val="false"/>
          <w:i/>
          <w:color w:val="000000"/>
          <w:sz w:val="20"/>
        </w:rPr>
        <w:t>No Employment Commitment; Rights as a Shareholder.</w:t>
      </w:r>
      <w:r>
        <w:rPr>
          <w:color w:val="000000"/>
        </w:rPr>
        <w:t xml:space="preserve"> </w:t>
      </w:r>
      <w:r>
        <w:rPr>
          <w:rFonts w:ascii="Arial;sans-serif" w:hAnsi="Arial;sans-serif"/>
          <w:b w:val="false"/>
          <w:color w:val="000000"/>
          <w:sz w:val="20"/>
        </w:rPr>
        <w:t>Nothing herein contained or contained in the Plan shall be deemed to be or constitute an agreement or commitment by the Company to continue to employ the Participant for the period within which this Award may be earned or exercised.</w:t>
      </w:r>
      <w:r>
        <w:rPr>
          <w:color w:val="000000"/>
        </w:rPr>
        <w:t xml:space="preserve"> </w:t>
      </w:r>
      <w:r>
        <w:rPr>
          <w:rFonts w:ascii="Arial;sans-serif" w:hAnsi="Arial;sans-serif"/>
          <w:b w:val="false"/>
          <w:color w:val="000000"/>
          <w:sz w:val="20"/>
        </w:rPr>
        <w:t>The Participant acknowledges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agrees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his</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her</w:t>
      </w:r>
      <w:r>
        <w:rPr>
          <w:color w:val="000000"/>
        </w:rPr>
        <w:t xml:space="preserve"> </w:t>
      </w:r>
      <w:r>
        <w:rPr>
          <w:rFonts w:ascii="Arial;sans-serif" w:hAnsi="Arial;sans-serif"/>
          <w:b w:val="false"/>
          <w:color w:val="000000"/>
          <w:sz w:val="20"/>
        </w:rPr>
        <w:t>employment</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shall</w:t>
      </w:r>
      <w:r>
        <w:rPr>
          <w:color w:val="000000"/>
        </w:rPr>
        <w:t xml:space="preserve"> </w:t>
      </w:r>
      <w:r>
        <w:rPr>
          <w:rFonts w:ascii="Arial;sans-serif" w:hAnsi="Arial;sans-serif"/>
          <w:b w:val="false"/>
          <w:color w:val="000000"/>
          <w:sz w:val="20"/>
        </w:rPr>
        <w:t>remain</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an</w:t>
      </w:r>
      <w:r>
        <w:rPr>
          <w:color w:val="000000"/>
        </w:rPr>
        <w:t xml:space="preserve"> “</w:t>
      </w:r>
      <w:r>
        <w:rPr>
          <w:rFonts w:ascii="Arial;sans-serif" w:hAnsi="Arial;sans-serif"/>
          <w:b w:val="false"/>
          <w:color w:val="000000"/>
          <w:sz w:val="20"/>
        </w:rPr>
        <w:t>at</w:t>
      </w:r>
      <w:r>
        <w:rPr>
          <w:color w:val="000000"/>
        </w:rPr>
        <w:t xml:space="preserve">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basis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the Company may terminate the employment of the Participant with or without cause at any time.</w:t>
      </w:r>
      <w:r>
        <w:rPr>
          <w:color w:val="000000"/>
        </w:rPr>
        <w:t xml:space="preserve"> </w:t>
      </w:r>
      <w:r>
        <w:rPr>
          <w:rFonts w:ascii="Arial;sans-serif" w:hAnsi="Arial;sans-serif"/>
          <w:b w:val="false"/>
          <w:color w:val="000000"/>
          <w:sz w:val="20"/>
        </w:rPr>
        <w:t>The Participant shall have no rights as a shareholder with respect to the Performance Share Units subject to the Award until the shares with respect to the Award have been issued.</w:t>
      </w:r>
    </w:p>
    <w:p>
      <w:pPr>
        <w:pStyle w:val="TextBody"/>
        <w:bidi w:val="0"/>
        <w:spacing w:before="57"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 9.    </w:t>
      </w:r>
      <w:r>
        <w:rPr>
          <w:rFonts w:ascii="Arial;sans-serif" w:hAnsi="Arial;sans-serif"/>
          <w:b w:val="false"/>
          <w:i/>
          <w:color w:val="000000"/>
          <w:sz w:val="20"/>
        </w:rPr>
        <w:t>Limitation</w:t>
      </w:r>
      <w:r>
        <w:rPr>
          <w:color w:val="000000"/>
        </w:rPr>
        <w:t xml:space="preserve"> </w:t>
      </w:r>
      <w:r>
        <w:rPr>
          <w:rFonts w:ascii="Arial;sans-serif" w:hAnsi="Arial;sans-serif"/>
          <w:b w:val="false"/>
          <w:i/>
          <w:color w:val="000000"/>
          <w:sz w:val="20"/>
        </w:rPr>
        <w:t>of</w:t>
      </w:r>
      <w:r>
        <w:rPr>
          <w:color w:val="000000"/>
        </w:rPr>
        <w:t xml:space="preserve"> </w:t>
      </w:r>
      <w:r>
        <w:rPr>
          <w:rFonts w:ascii="Arial;sans-serif" w:hAnsi="Arial;sans-serif"/>
          <w:b w:val="false"/>
          <w:i/>
          <w:color w:val="000000"/>
          <w:sz w:val="20"/>
        </w:rPr>
        <w:t>Rights;</w:t>
      </w:r>
      <w:r>
        <w:rPr>
          <w:color w:val="000000"/>
        </w:rPr>
        <w:t xml:space="preserve"> </w:t>
      </w:r>
      <w:r>
        <w:rPr>
          <w:rFonts w:ascii="Arial;sans-serif" w:hAnsi="Arial;sans-serif"/>
          <w:b w:val="false"/>
          <w:i/>
          <w:color w:val="000000"/>
          <w:sz w:val="20"/>
        </w:rPr>
        <w:t>Dividend</w:t>
      </w:r>
      <w:r>
        <w:rPr>
          <w:color w:val="000000"/>
        </w:rPr>
        <w:t xml:space="preserve"> </w:t>
      </w:r>
      <w:r>
        <w:rPr>
          <w:rFonts w:ascii="Arial;sans-serif" w:hAnsi="Arial;sans-serif"/>
          <w:b w:val="false"/>
          <w:i/>
          <w:color w:val="000000"/>
          <w:sz w:val="20"/>
        </w:rPr>
        <w:t>Equivalents.</w:t>
      </w:r>
      <w:r>
        <w:rPr>
          <w:color w:val="000000"/>
        </w:rPr>
        <w:t xml:space="preserve"> </w:t>
      </w:r>
      <w:r>
        <w:rPr>
          <w:rFonts w:ascii="Arial;sans-serif" w:hAnsi="Arial;sans-serif"/>
          <w:b w:val="false"/>
          <w:color w:val="000000"/>
          <w:sz w:val="20"/>
        </w:rPr>
        <w:t>Prior</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receipt</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shares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Common</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as outlined above, Participant shall not have (i) any rights of ownership of the shares of Common Stock subject to the Performance Share Units before the issuance of such shares, (ii) any right to vote such shares, or (iii) the right to receive any cash dividends paid on shares underlying Performance Share Units if and when cash dividends are paid to shareholders of the Company.</w:t>
      </w:r>
    </w:p>
    <w:p>
      <w:pPr>
        <w:pStyle w:val="TextBody"/>
        <w:bidi w:val="0"/>
        <w:spacing w:before="55" w:after="283"/>
        <w:jc w:val="left"/>
        <w:rPr/>
      </w:pPr>
      <w:r>
        <w:rPr/>
      </w:r>
    </w:p>
    <w:p>
      <w:pPr>
        <w:pStyle w:val="TextBody"/>
        <w:bidi w:val="0"/>
        <w:spacing w:lineRule="auto" w:line="288" w:before="1" w:after="283"/>
        <w:ind w:left="0" w:right="0" w:firstLine="720"/>
        <w:jc w:val="left"/>
        <w:rPr/>
      </w:pPr>
      <w:r>
        <w:rPr>
          <w:rFonts w:ascii="Arial;sans-serif" w:hAnsi="Arial;sans-serif"/>
          <w:b w:val="false"/>
          <w:color w:val="000000"/>
          <w:sz w:val="20"/>
        </w:rPr>
        <w:t>SECTION</w:t>
      </w:r>
      <w:r>
        <w:rPr>
          <w:color w:val="000000"/>
        </w:rPr>
        <w:t xml:space="preserve"> </w:t>
      </w:r>
      <w:r>
        <w:rPr>
          <w:rFonts w:ascii="Arial;sans-serif" w:hAnsi="Arial;sans-serif"/>
          <w:b w:val="false"/>
          <w:color w:val="000000"/>
          <w:sz w:val="20"/>
        </w:rPr>
        <w:t>10.</w:t>
      </w:r>
      <w:r>
        <w:rPr>
          <w:color w:val="000000"/>
        </w:rPr>
        <w:t xml:space="preserve"> </w:t>
      </w:r>
      <w:r>
        <w:rPr>
          <w:rFonts w:ascii="Arial;sans-serif" w:hAnsi="Arial;sans-serif"/>
          <w:b w:val="false"/>
          <w:i/>
          <w:color w:val="000000"/>
          <w:sz w:val="20"/>
        </w:rPr>
        <w:t>Transferability.</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Performance</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not</w:t>
      </w:r>
      <w:r>
        <w:rPr>
          <w:color w:val="000000"/>
        </w:rPr>
        <w:t xml:space="preserve"> </w:t>
      </w:r>
      <w:r>
        <w:rPr>
          <w:rFonts w:ascii="Arial;sans-serif" w:hAnsi="Arial;sans-serif"/>
          <w:b w:val="false"/>
          <w:color w:val="000000"/>
          <w:sz w:val="20"/>
        </w:rPr>
        <w:t>transferable</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otherwise</w:t>
      </w:r>
      <w:r>
        <w:rPr>
          <w:color w:val="000000"/>
        </w:rPr>
        <w:t xml:space="preserve"> </w:t>
      </w:r>
      <w:r>
        <w:rPr>
          <w:rFonts w:ascii="Arial;sans-serif" w:hAnsi="Arial;sans-serif"/>
          <w:b w:val="false"/>
          <w:color w:val="000000"/>
          <w:sz w:val="20"/>
        </w:rPr>
        <w:t>than by will or the laws of descent and distribution.</w:t>
      </w:r>
    </w:p>
    <w:p>
      <w:pPr>
        <w:pStyle w:val="TextBody"/>
        <w:bidi w:val="0"/>
        <w:spacing w:before="52" w:after="283"/>
        <w:jc w:val="left"/>
        <w:rPr/>
      </w:pPr>
      <w:r>
        <w:rPr/>
      </w:r>
    </w:p>
    <w:p>
      <w:pPr>
        <w:pStyle w:val="TextBody"/>
        <w:bidi w:val="0"/>
        <w:spacing w:lineRule="auto" w:line="288" w:before="1" w:after="283"/>
        <w:ind w:left="0" w:right="0" w:firstLine="720"/>
        <w:jc w:val="left"/>
        <w:rPr/>
      </w:pPr>
      <w:r>
        <w:rPr>
          <w:rFonts w:ascii="Arial;sans-serif" w:hAnsi="Arial;sans-serif"/>
          <w:b w:val="false"/>
          <w:color w:val="000000"/>
          <w:sz w:val="20"/>
        </w:rPr>
        <w:t>SECTION</w:t>
      </w:r>
      <w:r>
        <w:rPr>
          <w:color w:val="000000"/>
        </w:rPr>
        <w:t xml:space="preserve"> </w:t>
      </w:r>
      <w:r>
        <w:rPr>
          <w:rFonts w:ascii="Arial;sans-serif" w:hAnsi="Arial;sans-serif"/>
          <w:b w:val="false"/>
          <w:color w:val="000000"/>
          <w:sz w:val="20"/>
        </w:rPr>
        <w:t>11.</w:t>
      </w:r>
      <w:r>
        <w:rPr>
          <w:color w:val="000000"/>
        </w:rPr>
        <w:t xml:space="preserve"> </w:t>
      </w:r>
      <w:r>
        <w:rPr>
          <w:rFonts w:ascii="Arial;sans-serif" w:hAnsi="Arial;sans-serif"/>
          <w:b w:val="false"/>
          <w:i/>
          <w:color w:val="000000"/>
          <w:sz w:val="20"/>
        </w:rPr>
        <w:t>Ratification</w:t>
      </w:r>
      <w:r>
        <w:rPr>
          <w:color w:val="000000"/>
        </w:rPr>
        <w:t xml:space="preserve"> </w:t>
      </w:r>
      <w:r>
        <w:rPr>
          <w:rFonts w:ascii="Arial;sans-serif" w:hAnsi="Arial;sans-serif"/>
          <w:b w:val="false"/>
          <w:i/>
          <w:color w:val="000000"/>
          <w:sz w:val="20"/>
        </w:rPr>
        <w:t>of</w:t>
      </w:r>
      <w:r>
        <w:rPr>
          <w:color w:val="000000"/>
        </w:rPr>
        <w:t xml:space="preserve"> </w:t>
      </w:r>
      <w:r>
        <w:rPr>
          <w:rFonts w:ascii="Arial;sans-serif" w:hAnsi="Arial;sans-serif"/>
          <w:b w:val="false"/>
          <w:i/>
          <w:color w:val="000000"/>
          <w:sz w:val="20"/>
        </w:rPr>
        <w:t>Actions.</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accepting</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other</w:t>
      </w:r>
      <w:r>
        <w:rPr>
          <w:color w:val="000000"/>
        </w:rPr>
        <w:t xml:space="preserve"> </w:t>
      </w:r>
      <w:r>
        <w:rPr>
          <w:rFonts w:ascii="Arial;sans-serif" w:hAnsi="Arial;sans-serif"/>
          <w:b w:val="false"/>
          <w:color w:val="000000"/>
          <w:sz w:val="20"/>
        </w:rPr>
        <w:t>benefit</w:t>
      </w:r>
      <w:r>
        <w:rPr>
          <w:color w:val="000000"/>
        </w:rPr>
        <w:t xml:space="preserve"> </w:t>
      </w:r>
      <w:r>
        <w:rPr>
          <w:rFonts w:ascii="Arial;sans-serif" w:hAnsi="Arial;sans-serif"/>
          <w:b w:val="false"/>
          <w:color w:val="000000"/>
          <w:sz w:val="20"/>
        </w:rPr>
        <w:t>under</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 and each person claiming under or through him or her shall be conclusively deemed to have indicated the Participant’s acceptance and ratification of, and consent to, any action taken under the Plan or the Award by the Company, the board or the Administrator.</w:t>
      </w:r>
      <w:r>
        <w:rPr>
          <w:color w:val="000000"/>
        </w:rPr>
        <w:t xml:space="preserve"> </w:t>
      </w:r>
      <w:r>
        <w:rPr>
          <w:rFonts w:ascii="Arial;sans-serif" w:hAnsi="Arial;sans-serif"/>
          <w:b w:val="false"/>
          <w:color w:val="000000"/>
          <w:sz w:val="20"/>
        </w:rPr>
        <w:t>All decisions or interpretations of the Company, the Board and the Administrator upon any questions arising under the Plan and/or this Award Agreement shall be binding, conclusive and final on all parties.</w:t>
      </w:r>
      <w:r>
        <w:rPr>
          <w:color w:val="000000"/>
        </w:rPr>
        <w:t xml:space="preserve"> </w:t>
      </w:r>
      <w:r>
        <w:rPr>
          <w:rFonts w:ascii="Arial;sans-serif" w:hAnsi="Arial;sans-serif"/>
          <w:b w:val="false"/>
          <w:color w:val="000000"/>
          <w:sz w:val="20"/>
        </w:rPr>
        <w:t>In the event of any conflict between any provision of the Plan and this Award Agreement, the terms and provisions of the Plan shall control.</w:t>
      </w:r>
    </w:p>
    <w:p>
      <w:pPr>
        <w:pStyle w:val="TextBody"/>
        <w:bidi w:val="0"/>
        <w:spacing w:before="57"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 12.</w:t>
      </w:r>
      <w:r>
        <w:rPr>
          <w:color w:val="000000"/>
        </w:rPr>
        <w:t xml:space="preserve"> </w:t>
      </w:r>
      <w:r>
        <w:rPr>
          <w:rFonts w:ascii="Arial;sans-serif" w:hAnsi="Arial;sans-serif"/>
          <w:b w:val="false"/>
          <w:i/>
          <w:color w:val="000000"/>
          <w:sz w:val="20"/>
        </w:rPr>
        <w:t>Notices.</w:t>
      </w:r>
      <w:r>
        <w:rPr>
          <w:color w:val="000000"/>
        </w:rPr>
        <w:t xml:space="preserve"> </w:t>
      </w:r>
      <w:r>
        <w:rPr>
          <w:rFonts w:ascii="Arial;sans-serif" w:hAnsi="Arial;sans-serif"/>
          <w:b w:val="false"/>
          <w:color w:val="000000"/>
          <w:sz w:val="20"/>
        </w:rPr>
        <w:t>Any notice hereunder to the Company shall be addressed to its office, 251 Ballardvale</w:t>
      </w:r>
      <w:r>
        <w:rPr>
          <w:color w:val="000000"/>
        </w:rPr>
        <w:t xml:space="preserve"> </w:t>
      </w:r>
      <w:r>
        <w:rPr>
          <w:rFonts w:ascii="Arial;sans-serif" w:hAnsi="Arial;sans-serif"/>
          <w:b w:val="false"/>
          <w:color w:val="000000"/>
          <w:sz w:val="20"/>
        </w:rPr>
        <w:t>Street,</w:t>
      </w:r>
      <w:r>
        <w:rPr>
          <w:color w:val="000000"/>
        </w:rPr>
        <w:t xml:space="preserve"> </w:t>
      </w:r>
      <w:r>
        <w:rPr>
          <w:rFonts w:ascii="Arial;sans-serif" w:hAnsi="Arial;sans-serif"/>
          <w:b w:val="false"/>
          <w:color w:val="000000"/>
          <w:sz w:val="20"/>
        </w:rPr>
        <w:t>Wilmington,</w:t>
      </w:r>
      <w:r>
        <w:rPr>
          <w:color w:val="000000"/>
        </w:rPr>
        <w:t xml:space="preserve"> </w:t>
      </w:r>
      <w:r>
        <w:rPr>
          <w:rFonts w:ascii="Arial;sans-serif" w:hAnsi="Arial;sans-serif"/>
          <w:b w:val="false"/>
          <w:color w:val="000000"/>
          <w:sz w:val="20"/>
        </w:rPr>
        <w:t>MA</w:t>
      </w:r>
      <w:r>
        <w:rPr>
          <w:color w:val="000000"/>
        </w:rPr>
        <w:t xml:space="preserve"> </w:t>
      </w:r>
      <w:r>
        <w:rPr>
          <w:rFonts w:ascii="Arial;sans-serif" w:hAnsi="Arial;sans-serif"/>
          <w:b w:val="false"/>
          <w:color w:val="000000"/>
          <w:sz w:val="20"/>
        </w:rPr>
        <w:t>01887,</w:t>
      </w:r>
      <w:r>
        <w:rPr>
          <w:color w:val="000000"/>
        </w:rPr>
        <w:t xml:space="preserve"> </w:t>
      </w:r>
      <w:r>
        <w:rPr>
          <w:rFonts w:ascii="Arial;sans-serif" w:hAnsi="Arial;sans-serif"/>
          <w:b w:val="false"/>
          <w:color w:val="000000"/>
          <w:sz w:val="20"/>
        </w:rPr>
        <w:t>Attention:</w:t>
      </w:r>
      <w:r>
        <w:rPr>
          <w:color w:val="000000"/>
        </w:rPr>
        <w:t xml:space="preserve"> </w:t>
      </w:r>
      <w:r>
        <w:rPr>
          <w:rFonts w:ascii="Arial;sans-serif" w:hAnsi="Arial;sans-serif"/>
          <w:b w:val="false"/>
          <w:color w:val="000000"/>
          <w:sz w:val="20"/>
        </w:rPr>
        <w:t>Corporate</w:t>
      </w:r>
      <w:r>
        <w:rPr>
          <w:color w:val="000000"/>
        </w:rPr>
        <w:t xml:space="preserve"> </w:t>
      </w:r>
      <w:r>
        <w:rPr>
          <w:rFonts w:ascii="Arial;sans-serif" w:hAnsi="Arial;sans-serif"/>
          <w:b w:val="false"/>
          <w:color w:val="000000"/>
          <w:sz w:val="20"/>
        </w:rPr>
        <w:t>Executive</w:t>
      </w:r>
      <w:r>
        <w:rPr>
          <w:color w:val="000000"/>
        </w:rPr>
        <w:t xml:space="preserve"> </w:t>
      </w:r>
      <w:r>
        <w:rPr>
          <w:rFonts w:ascii="Arial;sans-serif" w:hAnsi="Arial;sans-serif"/>
          <w:b w:val="false"/>
          <w:color w:val="000000"/>
          <w:sz w:val="20"/>
        </w:rPr>
        <w:t>Vice</w:t>
      </w:r>
      <w:r>
        <w:rPr>
          <w:color w:val="000000"/>
        </w:rPr>
        <w:t xml:space="preserve"> </w:t>
      </w:r>
      <w:r>
        <w:rPr>
          <w:rFonts w:ascii="Arial;sans-serif" w:hAnsi="Arial;sans-serif"/>
          <w:b w:val="false"/>
          <w:color w:val="000000"/>
          <w:sz w:val="20"/>
        </w:rPr>
        <w:t>President</w:t>
      </w:r>
      <w:r>
        <w:rPr>
          <w:color w:val="000000"/>
        </w:rPr>
        <w:t xml:space="preserve"> </w:t>
      </w:r>
      <w:r>
        <w:rPr>
          <w:rFonts w:ascii="Arial;sans-serif" w:hAnsi="Arial;sans-serif"/>
          <w:b w:val="false"/>
          <w:color w:val="000000"/>
          <w:sz w:val="20"/>
        </w:rPr>
        <w:t>&amp; Chief</w:t>
      </w:r>
      <w:r>
        <w:rPr>
          <w:color w:val="000000"/>
        </w:rPr>
        <w:t xml:space="preserve"> </w:t>
      </w:r>
      <w:r>
        <w:rPr>
          <w:rFonts w:ascii="Arial;sans-serif" w:hAnsi="Arial;sans-serif"/>
          <w:b w:val="false"/>
          <w:color w:val="000000"/>
          <w:sz w:val="20"/>
        </w:rPr>
        <w:t>People</w:t>
      </w:r>
      <w:r>
        <w:rPr>
          <w:color w:val="000000"/>
        </w:rPr>
        <w:t xml:space="preserve"> </w:t>
      </w:r>
      <w:r>
        <w:rPr>
          <w:rFonts w:ascii="Arial;sans-serif" w:hAnsi="Arial;sans-serif"/>
          <w:b w:val="false"/>
          <w:color w:val="000000"/>
          <w:sz w:val="20"/>
        </w:rPr>
        <w:t>Officer,</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any notice hereunder to the Participant shall be addressed to him or her at the address specified on the Award</w:t>
      </w:r>
      <w:r>
        <w:rPr>
          <w:color w:val="000000"/>
        </w:rPr>
        <w:t xml:space="preserve"> </w:t>
      </w:r>
      <w:r>
        <w:rPr>
          <w:rFonts w:ascii="Arial;sans-serif" w:hAnsi="Arial;sans-serif"/>
          <w:b w:val="false"/>
          <w:color w:val="000000"/>
          <w:sz w:val="20"/>
        </w:rPr>
        <w:t>Agreement, subject to the right of either party to designate at any time hereafter in writing some other address.</w:t>
      </w:r>
    </w:p>
    <w:p>
      <w:pPr>
        <w:pStyle w:val="TextBody"/>
        <w:bidi w:val="0"/>
        <w:spacing w:before="1" w:after="283"/>
        <w:jc w:val="left"/>
        <w:rPr/>
      </w:pPr>
      <w:r>
        <w:rPr/>
      </w:r>
    </w:p>
    <w:p>
      <w:pPr>
        <w:pStyle w:val="TextBody"/>
        <w:bidi w:val="0"/>
        <w:spacing w:lineRule="auto" w:line="288" w:before="1" w:after="283"/>
        <w:jc w:val="left"/>
        <w:rPr/>
      </w:pPr>
      <w:r>
        <w:rPr>
          <w:rFonts w:ascii="Arial;sans-serif" w:hAnsi="Arial;sans-serif"/>
          <w:b w:val="false"/>
          <w:color w:val="000000"/>
          <w:sz w:val="20"/>
        </w:rPr>
        <w:t>SECTION 13.</w:t>
      </w:r>
      <w:r>
        <w:rPr>
          <w:color w:val="000000"/>
        </w:rPr>
        <w:t xml:space="preserve"> </w:t>
      </w:r>
      <w:r>
        <w:rPr>
          <w:rFonts w:ascii="Arial;sans-serif" w:hAnsi="Arial;sans-serif"/>
          <w:b w:val="false"/>
          <w:i/>
          <w:color w:val="000000"/>
          <w:sz w:val="20"/>
        </w:rPr>
        <w:t>Entire Agreement; Governing Law.</w:t>
      </w:r>
      <w:r>
        <w:rPr>
          <w:color w:val="000000"/>
        </w:rPr>
        <w:t xml:space="preserve"> </w:t>
      </w:r>
      <w:r>
        <w:rPr>
          <w:rFonts w:ascii="Arial;sans-serif" w:hAnsi="Arial;sans-serif"/>
          <w:b w:val="false"/>
          <w:color w:val="000000"/>
          <w:sz w:val="20"/>
        </w:rPr>
        <w:t>The Plan and this Award Agreement constitute the entire</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10.3</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2" w:after="283"/>
        <w:jc w:val="left"/>
        <w:rPr/>
      </w:pPr>
      <w:r>
        <w:rPr>
          <w:rFonts w:ascii="Arial;sans-serif" w:hAnsi="Arial;sans-serif"/>
          <w:b w:val="false"/>
          <w:color w:val="000000"/>
          <w:sz w:val="20"/>
        </w:rPr>
        <w:t>agreement with respect to the subject matter hereof and supersede in their entirety all prior undertakings and agreements of the Company and you with respect to the subject matter hereof.</w:t>
      </w:r>
      <w:r>
        <w:rPr>
          <w:color w:val="000000"/>
        </w:rPr>
        <w:t xml:space="preserve"> </w:t>
      </w:r>
      <w:r>
        <w:rPr>
          <w:rFonts w:ascii="Arial;sans-serif" w:hAnsi="Arial;sans-serif"/>
          <w:b w:val="false"/>
          <w:color w:val="000000"/>
          <w:sz w:val="20"/>
        </w:rPr>
        <w:t>This Award Agreement may not be modified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manner</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materially</w:t>
      </w:r>
      <w:r>
        <w:rPr>
          <w:color w:val="000000"/>
        </w:rPr>
        <w:t xml:space="preserve"> </w:t>
      </w:r>
      <w:r>
        <w:rPr>
          <w:rFonts w:ascii="Arial;sans-serif" w:hAnsi="Arial;sans-serif"/>
          <w:b w:val="false"/>
          <w:color w:val="000000"/>
          <w:sz w:val="20"/>
        </w:rPr>
        <w:t>adverse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your</w:t>
      </w:r>
      <w:r>
        <w:rPr>
          <w:color w:val="000000"/>
        </w:rPr>
        <w:t xml:space="preserve"> </w:t>
      </w:r>
      <w:r>
        <w:rPr>
          <w:rFonts w:ascii="Arial;sans-serif" w:hAnsi="Arial;sans-serif"/>
          <w:b w:val="false"/>
          <w:color w:val="000000"/>
          <w:sz w:val="20"/>
        </w:rPr>
        <w:t>interest</w:t>
      </w:r>
      <w:r>
        <w:rPr>
          <w:color w:val="000000"/>
        </w:rPr>
        <w:t xml:space="preserve"> </w:t>
      </w:r>
      <w:r>
        <w:rPr>
          <w:rFonts w:ascii="Arial;sans-serif" w:hAnsi="Arial;sans-serif"/>
          <w:b w:val="false"/>
          <w:color w:val="000000"/>
          <w:sz w:val="20"/>
        </w:rPr>
        <w:t>except</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means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writing</w:t>
      </w:r>
      <w:r>
        <w:rPr>
          <w:color w:val="000000"/>
        </w:rPr>
        <w:t xml:space="preserve"> </w:t>
      </w:r>
      <w:r>
        <w:rPr>
          <w:rFonts w:ascii="Arial;sans-serif" w:hAnsi="Arial;sans-serif"/>
          <w:b w:val="false"/>
          <w:color w:val="000000"/>
          <w:sz w:val="20"/>
        </w:rPr>
        <w:t>signed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 and you.</w:t>
      </w:r>
      <w:r>
        <w:rPr>
          <w:color w:val="000000"/>
        </w:rPr>
        <w:t xml:space="preserve"> </w:t>
      </w:r>
      <w:r>
        <w:rPr>
          <w:rFonts w:ascii="Arial;sans-serif" w:hAnsi="Arial;sans-serif"/>
          <w:b w:val="false"/>
          <w:color w:val="000000"/>
          <w:sz w:val="20"/>
        </w:rPr>
        <w:t>This Award Agreement is governed by the internal substantive laws but not the choice of law rules of the Commonwealth of Massachusetts.</w:t>
      </w:r>
    </w:p>
    <w:p>
      <w:pPr>
        <w:pStyle w:val="TextBody"/>
        <w:bidi w:val="0"/>
        <w:spacing w:lineRule="auto" w:line="288" w:before="1" w:after="283"/>
        <w:jc w:val="left"/>
        <w:rPr/>
      </w:pPr>
      <w:r>
        <w:rPr>
          <w:rFonts w:ascii="Arial;sans-serif" w:hAnsi="Arial;sans-serif"/>
          <w:b w:val="false"/>
          <w:color w:val="000000"/>
          <w:sz w:val="20"/>
        </w:rPr>
        <w:t>YOU ARE HEREBY INFORMED THAT THIS AWARD IS SUBJECT TO ALL TERMS AND CONDITIONS OF THE PLAN,</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COPY</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WHICH</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ATTACHED</w:t>
      </w:r>
      <w:r>
        <w:rPr>
          <w:color w:val="000000"/>
        </w:rPr>
        <w:t xml:space="preserve"> </w:t>
      </w:r>
      <w:r>
        <w:rPr>
          <w:rFonts w:ascii="Arial;sans-serif" w:hAnsi="Arial;sans-serif"/>
          <w:b w:val="false"/>
          <w:color w:val="000000"/>
          <w:sz w:val="20"/>
        </w:rPr>
        <w:t>HERETO.</w:t>
      </w:r>
      <w:r>
        <w:rPr>
          <w:color w:val="000000"/>
        </w:rPr>
        <w:t xml:space="preserve"> </w:t>
      </w:r>
      <w:r>
        <w:rPr>
          <w:rFonts w:ascii="Arial;sans-serif" w:hAnsi="Arial;sans-serif"/>
          <w:b w:val="false"/>
          <w:color w:val="000000"/>
          <w:sz w:val="20"/>
        </w:rPr>
        <w:t>YOU</w:t>
      </w:r>
      <w:r>
        <w:rPr>
          <w:color w:val="000000"/>
        </w:rPr>
        <w:t xml:space="preserve">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HEREBY</w:t>
      </w:r>
      <w:r>
        <w:rPr>
          <w:color w:val="000000"/>
        </w:rPr>
        <w:t xml:space="preserve"> </w:t>
      </w:r>
      <w:r>
        <w:rPr>
          <w:rFonts w:ascii="Arial;sans-serif" w:hAnsi="Arial;sans-serif"/>
          <w:b w:val="false"/>
          <w:color w:val="000000"/>
          <w:sz w:val="20"/>
        </w:rPr>
        <w:t>INFORMED</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ALL</w:t>
      </w:r>
      <w:r>
        <w:rPr>
          <w:color w:val="000000"/>
        </w:rPr>
        <w:t xml:space="preserve"> </w:t>
      </w:r>
      <w:r>
        <w:rPr>
          <w:rFonts w:ascii="Arial;sans-serif" w:hAnsi="Arial;sans-serif"/>
          <w:b w:val="false"/>
          <w:color w:val="000000"/>
          <w:sz w:val="20"/>
        </w:rPr>
        <w:t>DECISIONS</w:t>
      </w:r>
      <w:r>
        <w:rPr>
          <w:color w:val="000000"/>
        </w:rPr>
        <w:t xml:space="preserve"> </w:t>
      </w:r>
      <w:r>
        <w:rPr>
          <w:rFonts w:ascii="Arial;sans-serif" w:hAnsi="Arial;sans-serif"/>
          <w:b w:val="false"/>
          <w:color w:val="000000"/>
          <w:sz w:val="20"/>
        </w:rPr>
        <w:t>OR INTERPRETATIONS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ADMINISTRATOR</w:t>
      </w:r>
      <w:r>
        <w:rPr>
          <w:color w:val="000000"/>
        </w:rPr>
        <w:t xml:space="preserve"> </w:t>
      </w:r>
      <w:r>
        <w:rPr>
          <w:rFonts w:ascii="Arial;sans-serif" w:hAnsi="Arial;sans-serif"/>
          <w:b w:val="false"/>
          <w:color w:val="000000"/>
          <w:sz w:val="20"/>
        </w:rPr>
        <w:t>UPON</w:t>
      </w:r>
      <w:r>
        <w:rPr>
          <w:color w:val="000000"/>
        </w:rPr>
        <w:t xml:space="preserve"> </w:t>
      </w:r>
      <w:r>
        <w:rPr>
          <w:rFonts w:ascii="Arial;sans-serif" w:hAnsi="Arial;sans-serif"/>
          <w:b w:val="false"/>
          <w:color w:val="000000"/>
          <w:sz w:val="20"/>
        </w:rPr>
        <w:t>ANY</w:t>
      </w:r>
      <w:r>
        <w:rPr>
          <w:color w:val="000000"/>
        </w:rPr>
        <w:t xml:space="preserve"> </w:t>
      </w:r>
      <w:r>
        <w:rPr>
          <w:rFonts w:ascii="Arial;sans-serif" w:hAnsi="Arial;sans-serif"/>
          <w:b w:val="false"/>
          <w:color w:val="000000"/>
          <w:sz w:val="20"/>
        </w:rPr>
        <w:t>QUESTIONS</w:t>
      </w:r>
      <w:r>
        <w:rPr>
          <w:color w:val="000000"/>
        </w:rPr>
        <w:t xml:space="preserve"> </w:t>
      </w:r>
      <w:r>
        <w:rPr>
          <w:rFonts w:ascii="Arial;sans-serif" w:hAnsi="Arial;sans-serif"/>
          <w:b w:val="false"/>
          <w:color w:val="000000"/>
          <w:sz w:val="20"/>
        </w:rPr>
        <w:t>ARISING</w:t>
      </w:r>
      <w:r>
        <w:rPr>
          <w:color w:val="000000"/>
        </w:rPr>
        <w:t xml:space="preserve"> </w:t>
      </w:r>
      <w:r>
        <w:rPr>
          <w:rFonts w:ascii="Arial;sans-serif" w:hAnsi="Arial;sans-serif"/>
          <w:b w:val="false"/>
          <w:color w:val="000000"/>
          <w:sz w:val="20"/>
        </w:rPr>
        <w:t>UNDER</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THIS AWARD AGREEMENT ARE FINAL, BINDING AND CONCLUSIVE.</w:t>
      </w:r>
    </w:p>
    <w:p>
      <w:pPr>
        <w:pStyle w:val="TextBody"/>
        <w:bidi w:val="0"/>
        <w:spacing w:before="54"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w:t>
      </w:r>
      <w:r>
        <w:rPr>
          <w:color w:val="000000"/>
        </w:rPr>
        <w:t xml:space="preserve"> </w:t>
      </w:r>
      <w:r>
        <w:rPr>
          <w:rFonts w:ascii="Arial;sans-serif" w:hAnsi="Arial;sans-serif"/>
          <w:b w:val="false"/>
          <w:color w:val="000000"/>
          <w:sz w:val="20"/>
        </w:rPr>
        <w:t>14.</w:t>
      </w:r>
      <w:r>
        <w:rPr>
          <w:color w:val="000000"/>
        </w:rPr>
        <w:t xml:space="preserve"> </w:t>
      </w:r>
      <w:r>
        <w:rPr>
          <w:rFonts w:ascii="Arial;sans-serif" w:hAnsi="Arial;sans-serif"/>
          <w:b w:val="false"/>
          <w:i/>
          <w:color w:val="000000"/>
          <w:sz w:val="20"/>
        </w:rPr>
        <w:t>Financial</w:t>
      </w:r>
      <w:r>
        <w:rPr>
          <w:color w:val="000000"/>
        </w:rPr>
        <w:t xml:space="preserve"> </w:t>
      </w:r>
      <w:r>
        <w:rPr>
          <w:rFonts w:ascii="Arial;sans-serif" w:hAnsi="Arial;sans-serif"/>
          <w:b w:val="false"/>
          <w:i/>
          <w:color w:val="000000"/>
          <w:sz w:val="20"/>
        </w:rPr>
        <w:t>Statements.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Company’s</w:t>
      </w:r>
      <w:r>
        <w:rPr>
          <w:color w:val="000000"/>
        </w:rPr>
        <w:t xml:space="preserve"> </w:t>
      </w:r>
      <w:r>
        <w:rPr>
          <w:rFonts w:ascii="Arial;sans-serif" w:hAnsi="Arial;sans-serif"/>
          <w:b w:val="false"/>
          <w:color w:val="000000"/>
          <w:sz w:val="20"/>
        </w:rPr>
        <w:t>most</w:t>
      </w:r>
      <w:r>
        <w:rPr>
          <w:color w:val="000000"/>
        </w:rPr>
        <w:t xml:space="preserve"> </w:t>
      </w:r>
      <w:r>
        <w:rPr>
          <w:rFonts w:ascii="Arial;sans-serif" w:hAnsi="Arial;sans-serif"/>
          <w:b w:val="false"/>
          <w:color w:val="000000"/>
          <w:sz w:val="20"/>
        </w:rPr>
        <w:t>recent</w:t>
      </w:r>
      <w:r>
        <w:rPr>
          <w:color w:val="000000"/>
        </w:rPr>
        <w:t xml:space="preserve"> </w:t>
      </w:r>
      <w:r>
        <w:rPr>
          <w:rFonts w:ascii="Arial;sans-serif" w:hAnsi="Arial;sans-serif"/>
          <w:b w:val="false"/>
          <w:color w:val="000000"/>
          <w:sz w:val="20"/>
        </w:rPr>
        <w:t>Annual</w:t>
      </w:r>
      <w:r>
        <w:rPr>
          <w:color w:val="000000"/>
        </w:rPr>
        <w:t xml:space="preserve"> </w:t>
      </w:r>
      <w:r>
        <w:rPr>
          <w:rFonts w:ascii="Arial;sans-serif" w:hAnsi="Arial;sans-serif"/>
          <w:b w:val="false"/>
          <w:color w:val="000000"/>
          <w:sz w:val="20"/>
        </w:rPr>
        <w:t>Report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Shareholders</w:t>
      </w:r>
      <w:r>
        <w:rPr>
          <w:color w:val="000000"/>
        </w:rPr>
        <w:t xml:space="preserve"> </w:t>
      </w:r>
      <w:r>
        <w:rPr>
          <w:rFonts w:ascii="Arial;sans-serif" w:hAnsi="Arial;sans-serif"/>
          <w:b w:val="false"/>
          <w:color w:val="000000"/>
          <w:sz w:val="20"/>
        </w:rPr>
        <w:t>containing the Company’s audited financial statements for the last three (3) years and its Annual Report on Form 10-K is available on the Company’s website at http://www.criver.com.</w:t>
      </w:r>
    </w:p>
    <w:p>
      <w:pPr>
        <w:pStyle w:val="TextBody"/>
        <w:bidi w:val="0"/>
        <w:spacing w:before="54"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 15.</w:t>
      </w:r>
      <w:r>
        <w:rPr>
          <w:color w:val="000000"/>
        </w:rPr>
        <w:t xml:space="preserve"> </w:t>
      </w:r>
      <w:r>
        <w:rPr>
          <w:rFonts w:ascii="Arial;sans-serif" w:hAnsi="Arial;sans-serif"/>
          <w:b w:val="false"/>
          <w:i/>
          <w:color w:val="000000"/>
          <w:sz w:val="20"/>
        </w:rPr>
        <w:t>Recoupment.</w:t>
      </w:r>
      <w:r>
        <w:rPr>
          <w:color w:val="000000"/>
        </w:rPr>
        <w:t xml:space="preserve"> </w:t>
      </w:r>
      <w:r>
        <w:rPr>
          <w:rFonts w:ascii="Arial;sans-serif" w:hAnsi="Arial;sans-serif"/>
          <w:b w:val="false"/>
          <w:color w:val="000000"/>
          <w:sz w:val="20"/>
        </w:rPr>
        <w:t>Shares awarded under this Award Agreement are subject to recoupment in accordance</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Company’s</w:t>
      </w:r>
      <w:r>
        <w:rPr>
          <w:color w:val="000000"/>
        </w:rPr>
        <w:t xml:space="preserve"> </w:t>
      </w:r>
      <w:r>
        <w:rPr>
          <w:rFonts w:ascii="Arial;sans-serif" w:hAnsi="Arial;sans-serif"/>
          <w:b w:val="false"/>
          <w:color w:val="000000"/>
          <w:sz w:val="20"/>
        </w:rPr>
        <w:t>Corporate</w:t>
      </w:r>
      <w:r>
        <w:rPr>
          <w:color w:val="000000"/>
        </w:rPr>
        <w:t xml:space="preserve"> </w:t>
      </w:r>
      <w:r>
        <w:rPr>
          <w:rFonts w:ascii="Arial;sans-serif" w:hAnsi="Arial;sans-serif"/>
          <w:b w:val="false"/>
          <w:color w:val="000000"/>
          <w:sz w:val="20"/>
        </w:rPr>
        <w:t>Governance</w:t>
      </w:r>
      <w:r>
        <w:rPr>
          <w:color w:val="000000"/>
        </w:rPr>
        <w:t xml:space="preserve"> </w:t>
      </w:r>
      <w:r>
        <w:rPr>
          <w:rFonts w:ascii="Arial;sans-serif" w:hAnsi="Arial;sans-serif"/>
          <w:b w:val="false"/>
          <w:color w:val="000000"/>
          <w:sz w:val="20"/>
        </w:rPr>
        <w:t>Guidelines,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revised</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and/or</w:t>
      </w:r>
      <w:r>
        <w:rPr>
          <w:color w:val="000000"/>
        </w:rPr>
        <w:t xml:space="preserve"> </w:t>
      </w:r>
      <w:r>
        <w:rPr>
          <w:rFonts w:ascii="Arial;sans-serif" w:hAnsi="Arial;sans-serif"/>
          <w:b w:val="false"/>
          <w:color w:val="000000"/>
          <w:sz w:val="20"/>
        </w:rPr>
        <w:t>any other so-called recoupment, clawback or similar policy that may be approved by the Board of Directors of the Company or any committee thereof.</w:t>
      </w:r>
    </w:p>
    <w:p>
      <w:pPr>
        <w:pStyle w:val="TextBody"/>
        <w:bidi w:val="0"/>
        <w:spacing w:before="55"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 16.</w:t>
      </w:r>
      <w:r>
        <w:rPr>
          <w:color w:val="000000"/>
        </w:rPr>
        <w:t xml:space="preserve"> </w:t>
      </w:r>
      <w:r>
        <w:rPr>
          <w:rFonts w:ascii="Arial;sans-serif" w:hAnsi="Arial;sans-serif"/>
          <w:b w:val="false"/>
          <w:i/>
          <w:color w:val="000000"/>
          <w:sz w:val="20"/>
        </w:rPr>
        <w:t>Adjustments; Effect of Certain Transactions.</w:t>
      </w:r>
      <w:r>
        <w:rPr>
          <w:color w:val="000000"/>
        </w:rPr>
        <w:t xml:space="preserve"> </w:t>
      </w:r>
      <w:r>
        <w:rPr>
          <w:rFonts w:ascii="Arial;sans-serif" w:hAnsi="Arial;sans-serif"/>
          <w:b w:val="false"/>
          <w:color w:val="000000"/>
          <w:sz w:val="20"/>
        </w:rPr>
        <w:t>The number of Shares covered by the Performance Share Units shall be adjusted as set forth in Section 5 of the Plan to reflect dividends or other distributions, recapitalizations, stock splits, reverse stock splits, reorganizations, mergers, consolidations, split-ups, spin-offs, combinations, repurchases or exchanges.</w:t>
      </w:r>
      <w:r>
        <w:rPr>
          <w:color w:val="000000"/>
        </w:rPr>
        <w:t xml:space="preserve"> </w:t>
      </w:r>
      <w:r>
        <w:rPr>
          <w:rFonts w:ascii="Arial;sans-serif" w:hAnsi="Arial;sans-serif"/>
          <w:b w:val="false"/>
          <w:color w:val="000000"/>
          <w:sz w:val="20"/>
        </w:rPr>
        <w:t>In the event of a Change in Control “double trigger event” (as defined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Plan)</w:t>
      </w:r>
      <w:r>
        <w:rPr>
          <w:color w:val="000000"/>
        </w:rPr>
        <w:t xml:space="preserve"> </w:t>
      </w:r>
      <w:r>
        <w:rPr>
          <w:rFonts w:ascii="Arial;sans-serif" w:hAnsi="Arial;sans-serif"/>
          <w:b w:val="false"/>
          <w:color w:val="000000"/>
          <w:sz w:val="20"/>
        </w:rPr>
        <w:t>where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change in control</w:t>
      </w:r>
      <w:r>
        <w:rPr>
          <w:color w:val="000000"/>
        </w:rPr>
        <w:t xml:space="preserve"> </w:t>
      </w:r>
      <w:r>
        <w:rPr>
          <w:rFonts w:ascii="Arial;sans-serif" w:hAnsi="Arial;sans-serif"/>
          <w:b w:val="false"/>
          <w:color w:val="000000"/>
          <w:sz w:val="20"/>
        </w:rPr>
        <w:t>occurs</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prior</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[MONTH DD, YYYY],</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color w:val="000000"/>
          <w:sz w:val="20"/>
        </w:rPr>
        <w:t>#</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Shares</w:t>
      </w:r>
      <w:r>
        <w:rPr>
          <w:color w:val="000000"/>
        </w:rPr>
        <w:t xml:space="preserve"> </w:t>
      </w:r>
      <w:r>
        <w:rPr>
          <w:rFonts w:ascii="Arial;sans-serif" w:hAnsi="Arial;sans-serif"/>
          <w:b w:val="false"/>
          <w:color w:val="000000"/>
          <w:sz w:val="20"/>
        </w:rPr>
        <w:t xml:space="preserve">shall be deemed to be equal to the </w:t>
      </w:r>
      <w:r>
        <w:rPr>
          <w:rFonts w:ascii="Arial;sans-serif" w:hAnsi="Arial;sans-serif"/>
          <w:b/>
          <w:color w:val="000000"/>
          <w:sz w:val="20"/>
        </w:rPr>
        <w:t xml:space="preserve"># Target Award </w:t>
      </w:r>
      <w:r>
        <w:rPr>
          <w:rFonts w:ascii="Arial;sans-serif" w:hAnsi="Arial;sans-serif"/>
          <w:b w:val="false"/>
          <w:color w:val="000000"/>
          <w:sz w:val="20"/>
        </w:rPr>
        <w:t xml:space="preserve">and (B) after [MONTH DD, YYYY] and prior to [MONTH DD, YYYY], the # of Shares shall be deemed to be equal to the product of the </w:t>
      </w:r>
      <w:r>
        <w:rPr>
          <w:rFonts w:ascii="Arial;sans-serif" w:hAnsi="Arial;sans-serif"/>
          <w:b/>
          <w:color w:val="000000"/>
          <w:sz w:val="20"/>
        </w:rPr>
        <w:t># Target Award x EPS Payout Percentage.</w:t>
      </w:r>
    </w:p>
    <w:p>
      <w:pPr>
        <w:pStyle w:val="TextBody"/>
        <w:bidi w:val="0"/>
        <w:spacing w:before="57"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w:t>
      </w:r>
      <w:r>
        <w:rPr>
          <w:color w:val="000000"/>
        </w:rPr>
        <w:t xml:space="preserve"> </w:t>
      </w:r>
      <w:r>
        <w:rPr>
          <w:rFonts w:ascii="Arial;sans-serif" w:hAnsi="Arial;sans-serif"/>
          <w:b w:val="false"/>
          <w:color w:val="000000"/>
          <w:sz w:val="20"/>
        </w:rPr>
        <w:t>17.</w:t>
      </w:r>
      <w:r>
        <w:rPr>
          <w:color w:val="000000"/>
        </w:rPr>
        <w:t xml:space="preserve"> </w:t>
      </w:r>
      <w:r>
        <w:rPr>
          <w:rFonts w:ascii="Arial;sans-serif" w:hAnsi="Arial;sans-serif"/>
          <w:b w:val="false"/>
          <w:i/>
          <w:color w:val="000000"/>
          <w:sz w:val="20"/>
        </w:rPr>
        <w:t>Section</w:t>
      </w:r>
      <w:r>
        <w:rPr>
          <w:color w:val="000000"/>
        </w:rPr>
        <w:t xml:space="preserve"> </w:t>
      </w:r>
      <w:r>
        <w:rPr>
          <w:rFonts w:ascii="Arial;sans-serif" w:hAnsi="Arial;sans-serif"/>
          <w:b w:val="false"/>
          <w:i/>
          <w:color w:val="000000"/>
          <w:sz w:val="20"/>
        </w:rPr>
        <w:t>409A</w:t>
      </w:r>
      <w:r>
        <w:rPr>
          <w:color w:val="000000"/>
        </w:rPr>
        <w:t xml:space="preserve"> </w:t>
      </w:r>
      <w:r>
        <w:rPr>
          <w:rFonts w:ascii="Arial;sans-serif" w:hAnsi="Arial;sans-serif"/>
          <w:b w:val="false"/>
          <w:i/>
          <w:color w:val="000000"/>
          <w:sz w:val="20"/>
        </w:rPr>
        <w:t>of</w:t>
      </w:r>
      <w:r>
        <w:rPr>
          <w:color w:val="000000"/>
        </w:rPr>
        <w:t xml:space="preserve"> </w:t>
      </w:r>
      <w:r>
        <w:rPr>
          <w:rFonts w:ascii="Arial;sans-serif" w:hAnsi="Arial;sans-serif"/>
          <w:b w:val="false"/>
          <w:i/>
          <w:color w:val="000000"/>
          <w:sz w:val="20"/>
        </w:rPr>
        <w:t>the</w:t>
      </w:r>
      <w:r>
        <w:rPr>
          <w:color w:val="000000"/>
        </w:rPr>
        <w:t xml:space="preserve"> </w:t>
      </w:r>
      <w:r>
        <w:rPr>
          <w:rFonts w:ascii="Arial;sans-serif" w:hAnsi="Arial;sans-serif"/>
          <w:b w:val="false"/>
          <w:i/>
          <w:color w:val="000000"/>
          <w:sz w:val="20"/>
        </w:rPr>
        <w:t>Code.</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intended</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excepted</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coverage</w:t>
      </w:r>
      <w:r>
        <w:rPr>
          <w:color w:val="000000"/>
        </w:rPr>
        <w:t xml:space="preserve"> </w:t>
      </w:r>
      <w:r>
        <w:rPr>
          <w:rFonts w:ascii="Arial;sans-serif" w:hAnsi="Arial;sans-serif"/>
          <w:b w:val="false"/>
          <w:color w:val="000000"/>
          <w:sz w:val="20"/>
        </w:rPr>
        <w:t>under</w:t>
      </w:r>
      <w:r>
        <w:rPr>
          <w:color w:val="000000"/>
        </w:rPr>
        <w:t xml:space="preserve"> </w:t>
      </w:r>
      <w:r>
        <w:rPr>
          <w:rFonts w:ascii="Arial;sans-serif" w:hAnsi="Arial;sans-serif"/>
          <w:b w:val="false"/>
          <w:color w:val="000000"/>
          <w:sz w:val="20"/>
        </w:rPr>
        <w:t>and/or comply with Section 409A of the Internal Revenue Code, as amended (the “Code”) and shall be administered, interpreted and construed accordingly.</w:t>
      </w:r>
      <w:r>
        <w:rPr>
          <w:color w:val="000000"/>
        </w:rPr>
        <w:t xml:space="preserve"> </w:t>
      </w:r>
      <w:r>
        <w:rPr>
          <w:rFonts w:ascii="Arial;sans-serif" w:hAnsi="Arial;sans-serif"/>
          <w:b w:val="false"/>
          <w:color w:val="000000"/>
          <w:sz w:val="20"/>
        </w:rPr>
        <w:t>The Company may, in its sole discretion and without Participant’s consent, modify or amend the terms of this Award Agreement, impose conditions on the timing and effectiveness of the issuance of the Performance Share Units, and/or take any other action it deems necessary to cause this Award Agreement to be exempted from Section 409A (or to comply therewith to the extent the Company determines it is not excepted).</w:t>
      </w:r>
      <w:r>
        <w:rPr>
          <w:color w:val="000000"/>
        </w:rPr>
        <w:t xml:space="preserve"> </w:t>
      </w:r>
      <w:r>
        <w:rPr>
          <w:rFonts w:ascii="Arial;sans-serif" w:hAnsi="Arial;sans-serif"/>
          <w:b w:val="false"/>
          <w:color w:val="000000"/>
          <w:sz w:val="20"/>
        </w:rPr>
        <w:t>Notwithstanding, Participant recognizes and acknowledges that Section 409A may affect the timing and recognition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payments</w:t>
      </w:r>
      <w:r>
        <w:rPr>
          <w:color w:val="000000"/>
        </w:rPr>
        <w:t xml:space="preserve"> </w:t>
      </w:r>
      <w:r>
        <w:rPr>
          <w:rFonts w:ascii="Arial;sans-serif" w:hAnsi="Arial;sans-serif"/>
          <w:b w:val="false"/>
          <w:color w:val="000000"/>
          <w:sz w:val="20"/>
        </w:rPr>
        <w:t>due</w:t>
      </w:r>
      <w:r>
        <w:rPr>
          <w:color w:val="000000"/>
        </w:rPr>
        <w:t xml:space="preserve"> </w:t>
      </w:r>
      <w:r>
        <w:rPr>
          <w:rFonts w:ascii="Arial;sans-serif" w:hAnsi="Arial;sans-serif"/>
          <w:b w:val="false"/>
          <w:color w:val="000000"/>
          <w:sz w:val="20"/>
        </w:rPr>
        <w:t>hereunder,</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impose</w:t>
      </w:r>
      <w:r>
        <w:rPr>
          <w:color w:val="000000"/>
        </w:rPr>
        <w:t xml:space="preserve"> </w:t>
      </w:r>
      <w:r>
        <w:rPr>
          <w:rFonts w:ascii="Arial;sans-serif" w:hAnsi="Arial;sans-serif"/>
          <w:b w:val="false"/>
          <w:color w:val="000000"/>
          <w:sz w:val="20"/>
        </w:rPr>
        <w:t>upon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certain</w:t>
      </w:r>
      <w:r>
        <w:rPr>
          <w:color w:val="000000"/>
        </w:rPr>
        <w:t xml:space="preserve"> </w:t>
      </w:r>
      <w:r>
        <w:rPr>
          <w:rFonts w:ascii="Arial;sans-serif" w:hAnsi="Arial;sans-serif"/>
          <w:b w:val="false"/>
          <w:color w:val="000000"/>
          <w:sz w:val="20"/>
        </w:rPr>
        <w:t>taxes</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other</w:t>
      </w:r>
      <w:r>
        <w:rPr>
          <w:color w:val="000000"/>
        </w:rPr>
        <w:t xml:space="preserve"> </w:t>
      </w:r>
      <w:r>
        <w:rPr>
          <w:rFonts w:ascii="Arial;sans-serif" w:hAnsi="Arial;sans-serif"/>
          <w:b w:val="false"/>
          <w:color w:val="000000"/>
          <w:sz w:val="20"/>
        </w:rPr>
        <w:t>charges</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which the Participant is and shall remain solely responsible.</w:t>
      </w:r>
      <w:r>
        <w:rPr>
          <w:color w:val="000000"/>
        </w:rPr>
        <w:t xml:space="preserve"> </w:t>
      </w:r>
      <w:r>
        <w:rPr>
          <w:rFonts w:ascii="Arial;sans-serif" w:hAnsi="Arial;sans-serif"/>
          <w:b w:val="false"/>
          <w:color w:val="000000"/>
          <w:sz w:val="20"/>
        </w:rPr>
        <w:t>In order to minimize the application of Section 409A of the Code, the Company will deliver the Performance Shares, if any, to the Participant, between January 1, [YYYY] and March 15, [YYYY], or, if earlier, in the year following the Participant’s death.</w:t>
      </w:r>
      <w:r>
        <w:rPr>
          <w:color w:val="000000"/>
        </w:rPr>
        <w:t xml:space="preserve"> </w:t>
      </w:r>
      <w:r>
        <w:rPr>
          <w:rFonts w:ascii="Arial;sans-serif" w:hAnsi="Arial;sans-serif"/>
          <w:b w:val="false"/>
          <w:color w:val="000000"/>
          <w:sz w:val="20"/>
        </w:rPr>
        <w:t>If the Company considers the Participant to be one of its “specified employees” and the Participant is a U.S. taxpayer, in each case, at the time of his or her “separation from service” (as such terms are defined in the Code) from the Company, no conversion specified hereunder shall occur prior to the expiration of the six-month period measured from the date of the Participant’s separation from service from the Company to the extent required to comply with Section 409A of the Code.</w:t>
      </w:r>
    </w:p>
    <w:p>
      <w:pPr>
        <w:pStyle w:val="TextBody"/>
        <w:bidi w:val="0"/>
        <w:spacing w:before="64" w:after="283"/>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SECTION</w:t>
      </w:r>
      <w:r>
        <w:rPr>
          <w:color w:val="000000"/>
        </w:rPr>
        <w:t xml:space="preserve"> </w:t>
      </w:r>
      <w:r>
        <w:rPr>
          <w:rFonts w:ascii="Arial;sans-serif" w:hAnsi="Arial;sans-serif"/>
          <w:b w:val="false"/>
          <w:color w:val="000000"/>
          <w:sz w:val="20"/>
        </w:rPr>
        <w:t>18.</w:t>
      </w:r>
      <w:r>
        <w:rPr>
          <w:color w:val="000000"/>
        </w:rPr>
        <w:t xml:space="preserve"> </w:t>
      </w:r>
      <w:r>
        <w:rPr>
          <w:rFonts w:ascii="Arial;sans-serif" w:hAnsi="Arial;sans-serif"/>
          <w:b w:val="false"/>
          <w:i/>
          <w:color w:val="000000"/>
          <w:sz w:val="20"/>
        </w:rPr>
        <w:t>Provisions</w:t>
      </w:r>
      <w:r>
        <w:rPr>
          <w:color w:val="000000"/>
        </w:rPr>
        <w:t xml:space="preserve"> </w:t>
      </w:r>
      <w:r>
        <w:rPr>
          <w:rFonts w:ascii="Arial;sans-serif" w:hAnsi="Arial;sans-serif"/>
          <w:b w:val="false"/>
          <w:i/>
          <w:color w:val="000000"/>
          <w:sz w:val="20"/>
        </w:rPr>
        <w:t>of</w:t>
      </w:r>
      <w:r>
        <w:rPr>
          <w:color w:val="000000"/>
        </w:rPr>
        <w:t xml:space="preserve"> </w:t>
      </w:r>
      <w:r>
        <w:rPr>
          <w:rFonts w:ascii="Arial;sans-serif" w:hAnsi="Arial;sans-serif"/>
          <w:b w:val="false"/>
          <w:i/>
          <w:color w:val="000000"/>
          <w:sz w:val="20"/>
        </w:rPr>
        <w:t>the</w:t>
      </w:r>
      <w:r>
        <w:rPr>
          <w:color w:val="000000"/>
        </w:rPr>
        <w:t xml:space="preserve"> </w:t>
      </w:r>
      <w:r>
        <w:rPr>
          <w:rFonts w:ascii="Arial;sans-serif" w:hAnsi="Arial;sans-serif"/>
          <w:b w:val="false"/>
          <w:i/>
          <w:color w:val="000000"/>
          <w:sz w:val="20"/>
        </w:rPr>
        <w:t>Plan.</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subject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terms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provisions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2026 Long-Term</w:t>
      </w:r>
      <w:r>
        <w:rPr>
          <w:color w:val="000000"/>
        </w:rPr>
        <w:t xml:space="preserve"> </w:t>
      </w:r>
      <w:r>
        <w:rPr>
          <w:rFonts w:ascii="Arial;sans-serif" w:hAnsi="Arial;sans-serif"/>
          <w:b w:val="false"/>
          <w:color w:val="000000"/>
          <w:sz w:val="20"/>
        </w:rPr>
        <w:t>Incentive Plan, as amended, a copy of which is attached hereto and additional copies of which are available upon request by Participant.</w:t>
      </w:r>
      <w:r>
        <w:rPr>
          <w:color w:val="000000"/>
        </w:rPr>
        <w:t xml:space="preserve"> </w:t>
      </w:r>
      <w:r>
        <w:rPr>
          <w:rFonts w:ascii="Arial;sans-serif" w:hAnsi="Arial;sans-serif"/>
          <w:b w:val="false"/>
          <w:color w:val="000000"/>
          <w:sz w:val="20"/>
        </w:rPr>
        <w:t>Information about the Plan is also included in the Prospectus for the Plan, which is available on the Company’s Intranet site.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IN WITNESS WHEREOF, and by the signatures of the Participant and a duly authorized officer of the Company</w:t>
      </w:r>
      <w:r>
        <w:rPr>
          <w:color w:val="000000"/>
        </w:rPr>
        <w:t xml:space="preserve"> </w:t>
      </w:r>
      <w:r>
        <w:rPr>
          <w:rFonts w:ascii="Arial;sans-serif" w:hAnsi="Arial;sans-serif"/>
          <w:b w:val="false"/>
          <w:color w:val="000000"/>
          <w:sz w:val="20"/>
        </w:rPr>
        <w:t>below,</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Participant</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agree</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this</w:t>
      </w:r>
      <w:r>
        <w:rPr>
          <w:color w:val="000000"/>
        </w:rPr>
        <w:t xml:space="preserve"> </w:t>
      </w:r>
      <w:r>
        <w:rPr>
          <w:rFonts w:ascii="Arial;sans-serif" w:hAnsi="Arial;sans-serif"/>
          <w:b w:val="false"/>
          <w:color w:val="000000"/>
          <w:sz w:val="20"/>
        </w:rPr>
        <w:t>Award</w:t>
      </w:r>
      <w:r>
        <w:rPr>
          <w:color w:val="000000"/>
        </w:rPr>
        <w:t xml:space="preserve"> </w:t>
      </w:r>
      <w:r>
        <w:rPr>
          <w:rFonts w:ascii="Arial;sans-serif" w:hAnsi="Arial;sans-serif"/>
          <w:b w:val="false"/>
          <w:color w:val="000000"/>
          <w:sz w:val="20"/>
        </w:rPr>
        <w:t>Agreement</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granted</w:t>
      </w:r>
      <w:r>
        <w:rPr>
          <w:color w:val="000000"/>
        </w:rPr>
        <w:t xml:space="preserve"> </w:t>
      </w:r>
      <w:r>
        <w:rPr>
          <w:rFonts w:ascii="Arial;sans-serif" w:hAnsi="Arial;sans-serif"/>
          <w:b w:val="false"/>
          <w:color w:val="000000"/>
          <w:sz w:val="20"/>
        </w:rPr>
        <w:t>under</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governed by the terms and conditions of the Charles River Laboratories International, Inc. 2026 Long-Term Incentive Plan, as amended from</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terms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conditions</w:t>
      </w:r>
      <w:r>
        <w:rPr>
          <w:color w:val="000000"/>
        </w:rPr>
        <w:t xml:space="preserve"> </w:t>
      </w:r>
      <w:r>
        <w:rPr>
          <w:rFonts w:ascii="Arial;sans-serif" w:hAnsi="Arial;sans-serif"/>
          <w:b w:val="false"/>
          <w:color w:val="000000"/>
          <w:sz w:val="20"/>
        </w:rPr>
        <w:t>contained</w:t>
      </w:r>
      <w:r>
        <w:rPr>
          <w:color w:val="000000"/>
        </w:rPr>
        <w:t xml:space="preserve"> </w:t>
      </w:r>
      <w:r>
        <w:rPr>
          <w:rFonts w:ascii="Arial;sans-serif" w:hAnsi="Arial;sans-serif"/>
          <w:b w:val="false"/>
          <w:color w:val="000000"/>
          <w:sz w:val="20"/>
        </w:rPr>
        <w:t>herein,</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well</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such</w:t>
      </w:r>
      <w:r>
        <w:rPr>
          <w:color w:val="000000"/>
        </w:rPr>
        <w:t xml:space="preserve"> </w:t>
      </w:r>
      <w:r>
        <w:rPr>
          <w:rFonts w:ascii="Arial;sans-serif" w:hAnsi="Arial;sans-serif"/>
          <w:b w:val="false"/>
          <w:color w:val="000000"/>
          <w:sz w:val="20"/>
        </w:rPr>
        <w:t>administrative</w:t>
      </w:r>
      <w:r>
        <w:rPr>
          <w:color w:val="000000"/>
        </w:rPr>
        <w:t xml:space="preserve"> </w:t>
      </w:r>
      <w:r>
        <w:rPr>
          <w:rFonts w:ascii="Arial;sans-serif" w:hAnsi="Arial;sans-serif"/>
          <w:b w:val="false"/>
          <w:color w:val="000000"/>
          <w:sz w:val="20"/>
        </w:rPr>
        <w:t>regulations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 Compensation Committee may adopt from time to time.</w:t>
      </w:r>
    </w:p>
    <w:p>
      <w:pPr>
        <w:pStyle w:val="TextBody"/>
        <w:bidi w:val="0"/>
        <w:spacing w:lineRule="auto" w:line="288" w:before="190" w:after="283"/>
        <w:jc w:val="left"/>
        <w:rPr/>
      </w:pPr>
      <w:r>
        <w:rPr>
          <w:rFonts w:ascii="Arial;sans-serif" w:hAnsi="Arial;sans-serif"/>
          <w:b/>
          <w:color w:val="000000"/>
          <w:sz w:val="20"/>
        </w:rPr>
        <w:t>CHARLES</w:t>
      </w:r>
      <w:r>
        <w:rPr>
          <w:color w:val="000000"/>
        </w:rPr>
        <w:t xml:space="preserve"> </w:t>
      </w:r>
      <w:r>
        <w:rPr>
          <w:rFonts w:ascii="Arial;sans-serif" w:hAnsi="Arial;sans-serif"/>
          <w:b/>
          <w:color w:val="000000"/>
          <w:sz w:val="20"/>
        </w:rPr>
        <w:t>RIVER</w:t>
      </w:r>
      <w:r>
        <w:rPr>
          <w:color w:val="000000"/>
        </w:rPr>
        <w:t xml:space="preserve"> </w:t>
      </w:r>
      <w:r>
        <w:rPr>
          <w:rFonts w:ascii="Arial;sans-serif" w:hAnsi="Arial;sans-serif"/>
          <w:b/>
          <w:color w:val="000000"/>
          <w:sz w:val="20"/>
        </w:rPr>
        <w:t>LABORATORIES INTERNATIONAL, INC.</w:t>
      </w:r>
    </w:p>
    <w:p>
      <w:pPr>
        <w:pStyle w:val="TextBody"/>
        <w:bidi w:val="0"/>
        <w:spacing w:lineRule="auto" w:line="288" w:before="181" w:after="283"/>
        <w:jc w:val="left"/>
        <w:rPr/>
      </w:pPr>
      <w:r>
        <w:rPr>
          <w:rFonts w:ascii="Arial;sans-serif" w:hAnsi="Arial;sans-serif"/>
          <w:b w:val="false"/>
          <w:color w:val="000000"/>
          <w:sz w:val="22"/>
        </w:rPr>
        <w:t>By: _</w:t>
      </w:r>
      <w:r>
        <w:rPr>
          <w:rFonts w:ascii="Arial;sans-serif" w:hAnsi="Arial;sans-serif"/>
          <w:b w:val="false"/>
          <w:color w:val="000000"/>
          <w:sz w:val="22"/>
          <w:u w:val="single"/>
        </w:rPr>
        <w:t>/s/Victoria Creamer</w:t>
      </w:r>
      <w:r>
        <w:rPr>
          <w:rFonts w:ascii="Arial;sans-serif" w:hAnsi="Arial;sans-serif"/>
          <w:b w:val="false"/>
          <w:color w:val="000000"/>
          <w:sz w:val="22"/>
        </w:rPr>
        <w:t>____________</w:t>
      </w:r>
      <w:r>
        <w:rPr>
          <w:color w:val="000000"/>
        </w:rPr>
        <w:t>            </w:t>
      </w:r>
      <w:r>
        <w:rPr>
          <w:rFonts w:ascii="Arial;sans-serif" w:hAnsi="Arial;sans-serif"/>
          <w:b w:val="false"/>
          <w:color w:val="000000"/>
          <w:sz w:val="20"/>
        </w:rPr>
        <w:t>By:</w:t>
      </w:r>
      <w:r>
        <w:rPr>
          <w:color w:val="000000"/>
        </w:rPr>
        <w:t xml:space="preserve"> </w:t>
      </w:r>
      <w:r>
        <w:rPr>
          <w:rFonts w:ascii="Arial;sans-serif" w:hAnsi="Arial;sans-serif"/>
          <w:b w:val="false"/>
          <w:color w:val="007F00"/>
          <w:sz w:val="24"/>
        </w:rPr>
        <w:t>[Participant</w:t>
      </w:r>
      <w:r>
        <w:rPr>
          <w:color w:val="007F00"/>
        </w:rPr>
        <w:t xml:space="preserve"> </w:t>
      </w:r>
      <w:r>
        <w:rPr>
          <w:rFonts w:ascii="Arial;sans-serif" w:hAnsi="Arial;sans-serif"/>
          <w:b w:val="false"/>
          <w:color w:val="007F00"/>
          <w:sz w:val="24"/>
        </w:rPr>
        <w:t>Name:First</w:t>
      </w:r>
      <w:r>
        <w:rPr>
          <w:color w:val="007F00"/>
        </w:rPr>
        <w:t xml:space="preserve"> </w:t>
      </w:r>
      <w:r>
        <w:rPr>
          <w:rFonts w:ascii="Arial;sans-serif" w:hAnsi="Arial;sans-serif"/>
          <w:b w:val="false"/>
          <w:color w:val="007F00"/>
          <w:sz w:val="24"/>
        </w:rPr>
        <w:t>Name</w:t>
      </w:r>
      <w:r>
        <w:rPr>
          <w:color w:val="007F00"/>
        </w:rPr>
        <w:t xml:space="preserve"> </w:t>
      </w:r>
      <w:r>
        <w:rPr>
          <w:rFonts w:ascii="Arial;sans-serif" w:hAnsi="Arial;sans-serif"/>
          <w:b w:val="false"/>
          <w:color w:val="007F00"/>
          <w:sz w:val="24"/>
        </w:rPr>
        <w:t>Last Name]</w:t>
      </w:r>
    </w:p>
    <w:p>
      <w:pPr>
        <w:pStyle w:val="TextBody"/>
        <w:bidi w:val="0"/>
        <w:spacing w:lineRule="auto" w:line="288" w:before="181" w:after="283"/>
        <w:ind w:left="0" w:right="0" w:firstLine="66"/>
        <w:jc w:val="left"/>
        <w:rPr>
          <w:rFonts w:ascii="Arial;sans-serif" w:hAnsi="Arial;sans-serif"/>
          <w:b w:val="false"/>
          <w:color w:val="000000"/>
          <w:sz w:val="22"/>
        </w:rPr>
      </w:pPr>
      <w:r>
        <w:rPr>
          <w:rFonts w:ascii="Arial;sans-serif" w:hAnsi="Arial;sans-serif"/>
          <w:b w:val="false"/>
          <w:color w:val="000000"/>
          <w:sz w:val="22"/>
        </w:rPr>
        <w:t>Victoria Creamer                        </w:t>
      </w:r>
    </w:p>
    <w:p>
      <w:pPr>
        <w:pStyle w:val="TextBody"/>
        <w:bidi w:val="0"/>
        <w:spacing w:lineRule="auto" w:line="288" w:before="181" w:after="283"/>
        <w:ind w:left="0" w:right="0" w:firstLine="66"/>
        <w:jc w:val="left"/>
        <w:rPr>
          <w:rFonts w:ascii="Arial;sans-serif" w:hAnsi="Arial;sans-serif"/>
          <w:b w:val="false"/>
          <w:color w:val="000000"/>
          <w:sz w:val="22"/>
        </w:rPr>
      </w:pPr>
      <w:r>
        <w:rPr>
          <w:rFonts w:ascii="Arial;sans-serif" w:hAnsi="Arial;sans-serif"/>
          <w:b w:val="false"/>
          <w:color w:val="000000"/>
          <w:sz w:val="22"/>
        </w:rPr>
        <w:t>CEVP &amp; Chief People Officer</w:t>
      </w:r>
    </w:p>
    <w:p>
      <w:pPr>
        <w:pStyle w:val="TextBody"/>
        <w:bidi w:val="0"/>
        <w:spacing w:lineRule="auto" w:line="288" w:before="181" w:after="283"/>
        <w:ind w:left="0" w:right="0" w:firstLine="66"/>
        <w:jc w:val="left"/>
        <w:rPr>
          <w:color w:val="000000"/>
        </w:rPr>
      </w:pPr>
      <w:r>
        <w:rPr>
          <w:color w:val="000000"/>
        </w:rPr>
        <w:t xml:space="preserve">                         </w:t>
      </w:r>
      <w:r>
        <w:rPr>
          <w:rFonts w:ascii="Arial;sans-serif" w:hAnsi="Arial;sans-serif"/>
          <w:b w:val="false"/>
          <w:color w:val="000000"/>
          <w:sz w:val="22"/>
        </w:rPr>
        <w:t>DATE: ________________________________</w:t>
      </w:r>
    </w:p>
    <w:p>
      <w:pPr>
        <w:pStyle w:val="TextBody"/>
        <w:bidi w:val="0"/>
        <w:spacing w:lineRule="auto" w:line="288"/>
        <w:jc w:val="left"/>
        <w:rPr/>
      </w:pPr>
      <w:r>
        <w:rPr>
          <w:rFonts w:ascii="Arial;sans-serif" w:hAnsi="Arial;sans-serif"/>
          <w:b w:val="false"/>
          <w:color w:val="000000"/>
          <w:sz w:val="22"/>
        </w:rPr>
        <w:t xml:space="preserve">DATE: </w:t>
      </w:r>
      <w:r>
        <w:rPr>
          <w:rFonts w:ascii="Arial;sans-serif" w:hAnsi="Arial;sans-serif"/>
          <w:b w:val="false"/>
          <w:color w:val="007F00"/>
          <w:sz w:val="20"/>
        </w:rPr>
        <w:t>[Grant</w:t>
      </w:r>
      <w:r>
        <w:rPr>
          <w:color w:val="007F00"/>
        </w:rPr>
        <w:t xml:space="preserve"> </w:t>
      </w:r>
      <w:r>
        <w:rPr>
          <w:rFonts w:ascii="Arial;sans-serif" w:hAnsi="Arial;sans-serif"/>
          <w:b w:val="false"/>
          <w:color w:val="007F00"/>
          <w:sz w:val="20"/>
        </w:rPr>
        <w:t>Date:Month</w:t>
      </w:r>
      <w:r>
        <w:rPr>
          <w:color w:val="007F00"/>
        </w:rPr>
        <w:t xml:space="preserve"> </w:t>
      </w:r>
      <w:r>
        <w:rPr>
          <w:rFonts w:ascii="Arial;sans-serif" w:hAnsi="Arial;sans-serif"/>
          <w:b w:val="false"/>
          <w:color w:val="007F00"/>
          <w:sz w:val="20"/>
        </w:rPr>
        <w:t>DD,</w:t>
      </w:r>
      <w:r>
        <w:rPr>
          <w:color w:val="007F00"/>
        </w:rPr>
        <w:t xml:space="preserve"> </w:t>
      </w:r>
      <w:r>
        <w:rPr>
          <w:rFonts w:ascii="Arial;sans-serif" w:hAnsi="Arial;sans-serif"/>
          <w:b w:val="false"/>
          <w:color w:val="007F00"/>
          <w:sz w:val="20"/>
        </w:rPr>
        <w:t xml:space="preserve">YYYY]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RULE 13a-14(a)/15d-14(a) OF THE EXCHANGE ACT OF 1934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Birgit Girshick, Chief Executive Officer of Charles River Laboratories International, Inc. (the registrant) certify that: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27, 2026 of the registrant;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827"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1115"/>
        <w:gridCol w:w="1115"/>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Birgit Girshick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Birgit Girshick</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Charles River Laboratories International,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2260"/>
                <wp:effectExtent l="0" t="0" r="0" b="0"/>
                <wp:wrapNone/>
                <wp:docPr id="58" name="Frame5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RULE 13a-14(a)/15d-14(a) OF THE EXCHANGE ACT OF 1934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Glenn Coleman, Corporate Executive Vice President and Chief Financial Officer of Charles River Laboratories International, Inc. (the registrant) certify that: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27, 2026 of the registrant;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417"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1579"/>
        <w:gridCol w:w="1579"/>
        <w:gridCol w:w="22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Glenn Coleman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Glenn Coleman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Executive Vice President and 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River Laboratories International,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02260"/>
                <wp:effectExtent l="0" t="0" r="0" b="0"/>
                <wp:wrapNone/>
                <wp:docPr id="59" name="Frame5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 ended June 27, 2026 of Charles River Laboratories International, Inc. (the “Company”) as filed with the Securities and Exchange Commission on the date hereof (the “Report”), the undersigned, Birgit Girshick, Chief Executive Officer of the Company, and Glenn Coleman, Corporate Executive Vice President and Chief Financial Officer of the Company, each hereby certifies, to the best of their knowledge and pursuant to 18 U.S.C. Section 1350, that: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(the “Exchange Act”);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7745"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1783"/>
        <w:gridCol w:w="1783"/>
        <w:gridCol w:w="178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Birgit Girshick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Birgit Girshick</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River Laboratories,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Glenn Coleman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Glenn Coleman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Executive Vice President and 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River Laboratories,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any purpose, nor shall it be deemed to be incorporated by reference into any filing under the Securities Act of 1933 or the Exchange Act.</w:t>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2260"/>
                <wp:effectExtent l="0" t="0" r="0" b="0"/>
                <wp:wrapNone/>
                <wp:docPr id="60" name="Frame5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100682/000110068226000038/crl-20260328.htm" TargetMode="External"/><Relationship Id="rId4" Type="http://schemas.openxmlformats.org/officeDocument/2006/relationships/hyperlink" Target="https://www.sec.gov/ix?doc=/Archives/edgar/data/0001100682/000110068226000038/crl-20260328.htm" TargetMode="External"/><Relationship Id="rId5" Type="http://schemas.openxmlformats.org/officeDocument/2006/relationships/hyperlink" Target="https://www.sec.gov/ix?doc=/Archives/edgar/data/0001100682/000110068226000038/crl-20260328.htm" TargetMode="External"/><Relationship Id="rId6" Type="http://schemas.openxmlformats.org/officeDocument/2006/relationships/hyperlink" Target="https://www.sec.gov/ix?doc=/Archives/edgar/data/0001100682/000110068226000038/crl-20260328.htm" TargetMode="External"/><Relationship Id="rId7" Type="http://schemas.openxmlformats.org/officeDocument/2006/relationships/hyperlink" Target="https://www.sec.gov/Archives/edgar/data/1100682/000095010326007060/dp246529_ex1001.htm" TargetMode="External"/><Relationship Id="rId8" Type="http://schemas.openxmlformats.org/officeDocument/2006/relationships/hyperlink" Target="https://www.sec.gov/Archives/edgar/data/1100682/000095010326007060/dp246529_ex1001.htm" TargetMode="External"/><Relationship Id="rId9" Type="http://schemas.openxmlformats.org/officeDocument/2006/relationships/hyperlink" Target="https://www.sec.gov/Archives/edgar/data/1100682/000095010326007060/dp246529_ex1001.htm" TargetMode="External"/><Relationship Id="rId10" Type="http://schemas.openxmlformats.org/officeDocument/2006/relationships/hyperlink" Target="https://www.sec.gov/Archives/edgar/data/1100682/000095010326007060/dp246529_ex10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27785</Words>
  <Characters>155516</Characters>
  <CharactersWithSpaces>181254</CharactersWithSpaces>
  <Paragraphs>4072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