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Barg Steven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CHARLES RIVER LABORATORIES 251 BALLARDVALE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CHARLES RIVER LABORATORIES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INTERNATIONAL,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CRL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MA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01887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422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174.79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grant was made in lieu of director service fees for the term commencing May 5, 2026. The restricted stock units vest upon the earlier of 6/2/2027, or the business day prior to the Company's next annual meeting of shareholders.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Steven Barg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52883" TargetMode="External"/><Relationship Id="rId14" Type="http://schemas.openxmlformats.org/officeDocument/2006/relationships/hyperlink" Target="http://www.sec.gov/cgi-bin/browse-edgar?action=getcompany&amp;CIK=00011006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2026-06-03T20:46:36Z</dcterms:created>
  <dcterms:modified xsi:type="dcterms:W3CDTF">2026-06-03T20:46:36Z</dcterms:modified>
</cp:coreProperties>
</file>